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581F16">
      <w:pPr>
        <w:jc w:val="center"/>
        <w:rPr>
          <w:rFonts w:hint="eastAsia" w:ascii="宋体" w:hAnsi="宋体" w:eastAsia="宋体" w:cs="宋体"/>
          <w:sz w:val="24"/>
          <w:szCs w:val="24"/>
        </w:rPr>
      </w:pPr>
      <w:r>
        <w:rPr>
          <w:rFonts w:hint="eastAsia" w:ascii="宋体" w:hAnsi="宋体" w:eastAsia="宋体" w:cs="宋体"/>
          <w:sz w:val="24"/>
          <w:szCs w:val="24"/>
        </w:rPr>
        <w:t>国欧美直流充电桩(机)研发测试系统AST-9000系列</w:t>
      </w:r>
    </w:p>
    <w:p w14:paraId="1AD0242E">
      <w:pPr>
        <w:rPr>
          <w:rFonts w:hint="eastAsia" w:ascii="宋体" w:hAnsi="宋体" w:eastAsia="宋体" w:cs="宋体"/>
          <w:sz w:val="24"/>
          <w:szCs w:val="24"/>
        </w:rPr>
      </w:pPr>
      <w:r>
        <w:rPr>
          <w:rFonts w:hint="eastAsia" w:ascii="宋体" w:hAnsi="宋体" w:eastAsia="宋体" w:cs="宋体"/>
          <w:sz w:val="24"/>
          <w:szCs w:val="24"/>
          <w:lang w:val="en-US" w:eastAsia="zh-CN"/>
        </w:rPr>
        <w:t> GB/EA/UA/CA接口</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 远程无线操作</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 自动生成报告</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 专业售后维修</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 协议一致性/互操作性</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 选配录波模块</w:t>
      </w:r>
    </w:p>
    <w:p w14:paraId="7AE90008">
      <w:pPr>
        <w:rPr>
          <w:rFonts w:hint="eastAsia" w:ascii="宋体" w:hAnsi="宋体" w:eastAsia="宋体" w:cs="宋体"/>
          <w:sz w:val="24"/>
          <w:szCs w:val="24"/>
        </w:rPr>
      </w:pPr>
      <w:r>
        <w:rPr>
          <w:rFonts w:hint="eastAsia" w:ascii="宋体" w:hAnsi="宋体" w:eastAsia="宋体" w:cs="宋体"/>
          <w:sz w:val="24"/>
          <w:szCs w:val="24"/>
        </w:rPr>
        <w:t>关键词:国欧美直流充电桩(机)研发测试系统AST9000系列</w:t>
      </w:r>
    </w:p>
    <w:p w14:paraId="62BB823D">
      <w:pPr>
        <w:rPr>
          <w:rFonts w:hint="eastAsia" w:ascii="宋体" w:hAnsi="宋体" w:eastAsia="宋体" w:cs="宋体"/>
          <w:sz w:val="24"/>
          <w:szCs w:val="24"/>
        </w:rPr>
      </w:pPr>
      <w:r>
        <w:rPr>
          <w:rFonts w:hint="eastAsia" w:ascii="宋体" w:hAnsi="宋体" w:eastAsia="宋体" w:cs="宋体"/>
          <w:sz w:val="24"/>
          <w:szCs w:val="24"/>
        </w:rPr>
        <w:t>所属分类:</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"https://www.saiter.cn/products/12.html" \t "/Users/gwen/Documents\\x/_self" </w:instrText>
      </w:r>
      <w:r>
        <w:rPr>
          <w:rFonts w:hint="eastAsia" w:ascii="宋体" w:hAnsi="宋体" w:eastAsia="宋体" w:cs="宋体"/>
          <w:sz w:val="24"/>
          <w:szCs w:val="24"/>
        </w:rPr>
        <w:fldChar w:fldCharType="separate"/>
      </w:r>
      <w:r>
        <w:rPr>
          <w:rFonts w:hint="eastAsia" w:ascii="宋体" w:hAnsi="宋体" w:eastAsia="宋体" w:cs="宋体"/>
          <w:sz w:val="24"/>
          <w:szCs w:val="24"/>
        </w:rPr>
        <w:t>充电桩测试</w:t>
      </w:r>
      <w:r>
        <w:rPr>
          <w:rFonts w:hint="eastAsia" w:ascii="宋体" w:hAnsi="宋体" w:eastAsia="宋体" w:cs="宋体"/>
          <w:sz w:val="24"/>
          <w:szCs w:val="24"/>
        </w:rPr>
        <w:fldChar w:fldCharType="end"/>
      </w:r>
      <w:r>
        <w:rPr>
          <w:rFonts w:hint="eastAsia" w:ascii="宋体" w:hAnsi="宋体" w:eastAsia="宋体" w:cs="宋体"/>
          <w:sz w:val="24"/>
          <w:szCs w:val="24"/>
          <w:lang w:eastAsia="zh-CN"/>
        </w:rPr>
        <w:t>；</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"https://www.saiter.cn/products/5.html" \t "/Users/gwen/Documents\\x/_self" </w:instrText>
      </w:r>
      <w:r>
        <w:rPr>
          <w:rFonts w:hint="eastAsia" w:ascii="宋体" w:hAnsi="宋体" w:eastAsia="宋体" w:cs="宋体"/>
          <w:sz w:val="24"/>
          <w:szCs w:val="24"/>
        </w:rPr>
        <w:fldChar w:fldCharType="separate"/>
      </w:r>
      <w:r>
        <w:rPr>
          <w:rFonts w:hint="eastAsia" w:ascii="宋体" w:hAnsi="宋体" w:eastAsia="宋体" w:cs="宋体"/>
          <w:sz w:val="24"/>
          <w:szCs w:val="24"/>
        </w:rPr>
        <w:t>实验室测试</w:t>
      </w:r>
      <w:r>
        <w:rPr>
          <w:rFonts w:hint="eastAsia" w:ascii="宋体" w:hAnsi="宋体" w:eastAsia="宋体" w:cs="宋体"/>
          <w:sz w:val="24"/>
          <w:szCs w:val="24"/>
        </w:rPr>
        <w:fldChar w:fldCharType="end"/>
      </w:r>
    </w:p>
    <w:p w14:paraId="21ABE061">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产品描述：</w:t>
      </w:r>
    </w:p>
    <w:p w14:paraId="6E59CBE8">
      <w:pPr>
        <w:pStyle w:val="3"/>
        <w:keepNext w:val="0"/>
        <w:keepLines w:val="0"/>
        <w:widowControl/>
        <w:suppressLineNumbers w:val="0"/>
        <w:shd w:val="clear" w:fill="FFFFFF"/>
        <w:spacing w:before="0" w:beforeAutospacing="0" w:after="0" w:afterAutospacing="0"/>
        <w:ind w:left="0" w:right="0" w:firstLine="420"/>
        <w:jc w:val="left"/>
        <w:rPr>
          <w:rFonts w:hint="eastAsia" w:ascii="宋体" w:hAnsi="宋体" w:eastAsia="宋体" w:cs="宋体"/>
          <w:i w:val="0"/>
          <w:iCs w:val="0"/>
          <w:caps w:val="0"/>
          <w:color w:val="666666"/>
          <w:spacing w:val="0"/>
          <w:sz w:val="24"/>
          <w:szCs w:val="24"/>
        </w:rPr>
      </w:pPr>
      <w:r>
        <w:rPr>
          <w:rStyle w:val="6"/>
          <w:rFonts w:hint="eastAsia" w:ascii="宋体" w:hAnsi="宋体" w:eastAsia="宋体" w:cs="宋体"/>
          <w:b/>
          <w:bCs/>
          <w:i w:val="0"/>
          <w:iCs w:val="0"/>
          <w:caps w:val="0"/>
          <w:color w:val="666666"/>
          <w:spacing w:val="0"/>
          <w:sz w:val="24"/>
          <w:szCs w:val="24"/>
          <w:shd w:val="clear" w:fill="FFFFFF"/>
        </w:rPr>
        <w:t>AST9000是一款专门用于电动汽车非车载充电机高集成综合测试系统，</w:t>
      </w:r>
      <w:r>
        <w:rPr>
          <w:rFonts w:hint="eastAsia" w:ascii="宋体" w:hAnsi="宋体" w:eastAsia="宋体" w:cs="宋体"/>
          <w:i w:val="0"/>
          <w:iCs w:val="0"/>
          <w:caps w:val="0"/>
          <w:color w:val="666666"/>
          <w:spacing w:val="0"/>
          <w:sz w:val="24"/>
          <w:szCs w:val="24"/>
          <w:shd w:val="clear" w:fill="FFFFFF"/>
        </w:rPr>
        <w:t>主要应用于直流充电桩产品调试及功能验证，基于国标协议GBT 27930-2015，NB/T33008.1-2018等开发，基于欧标协</w:t>
      </w:r>
      <w:bookmarkStart w:id="0" w:name="_GoBack"/>
      <w:bookmarkEnd w:id="0"/>
      <w:r>
        <w:rPr>
          <w:rFonts w:hint="eastAsia" w:ascii="宋体" w:hAnsi="宋体" w:eastAsia="宋体" w:cs="宋体"/>
          <w:i w:val="0"/>
          <w:iCs w:val="0"/>
          <w:caps w:val="0"/>
          <w:color w:val="666666"/>
          <w:spacing w:val="0"/>
          <w:sz w:val="24"/>
          <w:szCs w:val="24"/>
          <w:shd w:val="clear" w:fill="FFFFFF"/>
        </w:rPr>
        <w:t>议IEC61851-1开发，基于美标协议SAE J1772-2017开发。适用于非车载充电机生产厂家，可广泛应用于充电设施制造商、电力部门、各级计量单位对电动汽车直流充电桩，进行前期研发调试，出厂测试等。充电机试验系统主要包括AST9000测试系统、程控电阻负载、程控交流源、配置系统软件等。</w:t>
      </w:r>
    </w:p>
    <w:p w14:paraId="663A8084">
      <w:pPr>
        <w:pStyle w:val="3"/>
        <w:keepNext w:val="0"/>
        <w:keepLines w:val="0"/>
        <w:widowControl/>
        <w:suppressLineNumbers w:val="0"/>
        <w:shd w:val="clear" w:fill="FFFFFF"/>
        <w:spacing w:before="0" w:beforeAutospacing="0" w:after="0" w:afterAutospacing="0"/>
        <w:ind w:left="0" w:right="0" w:firstLine="0"/>
        <w:jc w:val="left"/>
        <w:rPr>
          <w:rFonts w:hint="eastAsia" w:ascii="宋体" w:hAnsi="宋体" w:eastAsia="宋体" w:cs="宋体"/>
          <w:i w:val="0"/>
          <w:iCs w:val="0"/>
          <w:caps w:val="0"/>
          <w:color w:val="666666"/>
          <w:spacing w:val="0"/>
          <w:sz w:val="24"/>
          <w:szCs w:val="24"/>
          <w:shd w:val="clear" w:fill="FFFFFF"/>
        </w:rPr>
      </w:pPr>
      <w:r>
        <w:rPr>
          <w:rFonts w:hint="eastAsia" w:ascii="宋体" w:hAnsi="宋体" w:eastAsia="宋体" w:cs="宋体"/>
          <w:i w:val="0"/>
          <w:iCs w:val="0"/>
          <w:caps w:val="0"/>
          <w:color w:val="666666"/>
          <w:spacing w:val="0"/>
          <w:sz w:val="24"/>
          <w:szCs w:val="24"/>
          <w:shd w:val="clear" w:fill="FFFFFF"/>
        </w:rPr>
        <w:t> </w:t>
      </w:r>
      <w:r>
        <w:rPr>
          <w:rFonts w:hint="eastAsia" w:ascii="宋体" w:hAnsi="宋体" w:eastAsia="宋体" w:cs="宋体"/>
          <w:i w:val="0"/>
          <w:iCs w:val="0"/>
          <w:caps w:val="0"/>
          <w:color w:val="666666"/>
          <w:spacing w:val="0"/>
          <w:sz w:val="24"/>
          <w:szCs w:val="24"/>
          <w:shd w:val="clear" w:fill="FFFFFF"/>
        </w:rPr>
        <w:t>内置有电池电压模拟装置，范围DC OV-1100V，客户可根据实际需求设置，满足充电桩启动电压的仿真功能;</w:t>
      </w:r>
    </w:p>
    <w:p w14:paraId="45FBDA67">
      <w:pPr>
        <w:pStyle w:val="3"/>
        <w:keepNext w:val="0"/>
        <w:keepLines w:val="0"/>
        <w:widowControl/>
        <w:suppressLineNumbers w:val="0"/>
        <w:shd w:val="clear" w:fill="FFFFFF"/>
        <w:spacing w:before="0" w:beforeAutospacing="0" w:after="0" w:afterAutospacing="0"/>
        <w:ind w:left="0" w:right="0" w:firstLine="420"/>
        <w:jc w:val="left"/>
        <w:rPr>
          <w:rFonts w:hint="eastAsia" w:ascii="宋体" w:hAnsi="宋体" w:eastAsia="宋体" w:cs="宋体"/>
          <w:i w:val="0"/>
          <w:iCs w:val="0"/>
          <w:caps w:val="0"/>
          <w:color w:val="666666"/>
          <w:spacing w:val="0"/>
          <w:sz w:val="24"/>
          <w:szCs w:val="24"/>
          <w:shd w:val="clear" w:fill="FFFFFF"/>
        </w:rPr>
      </w:pPr>
      <w:r>
        <w:rPr>
          <w:rFonts w:hint="eastAsia" w:ascii="宋体" w:hAnsi="宋体" w:eastAsia="宋体" w:cs="宋体"/>
          <w:i w:val="0"/>
          <w:iCs w:val="0"/>
          <w:caps w:val="0"/>
          <w:color w:val="666666"/>
          <w:spacing w:val="0"/>
          <w:sz w:val="24"/>
          <w:szCs w:val="24"/>
          <w:shd w:val="clear" w:fill="FFFFFF"/>
        </w:rPr>
        <w:t>具备车辆控制导引电路模拟功能，模拟BMS与充电机的通信，辨识握手、参数配置、充电阶段、充电结束各阶段报文;</w:t>
      </w:r>
    </w:p>
    <w:p w14:paraId="556B499A">
      <w:pPr>
        <w:pStyle w:val="3"/>
        <w:keepNext w:val="0"/>
        <w:keepLines w:val="0"/>
        <w:widowControl/>
        <w:suppressLineNumbers w:val="0"/>
        <w:shd w:val="clear" w:fill="FFFFFF"/>
        <w:spacing w:before="0" w:beforeAutospacing="0" w:after="0" w:afterAutospacing="0"/>
        <w:ind w:left="0" w:right="0" w:firstLine="420"/>
        <w:jc w:val="left"/>
        <w:rPr>
          <w:rFonts w:hint="eastAsia" w:ascii="宋体" w:hAnsi="宋体" w:eastAsia="宋体" w:cs="宋体"/>
          <w:i w:val="0"/>
          <w:iCs w:val="0"/>
          <w:caps w:val="0"/>
          <w:color w:val="666666"/>
          <w:spacing w:val="0"/>
          <w:sz w:val="24"/>
          <w:szCs w:val="24"/>
          <w:shd w:val="clear" w:fill="FFFFFF"/>
        </w:rPr>
      </w:pPr>
      <w:r>
        <w:rPr>
          <w:rFonts w:hint="eastAsia" w:ascii="宋体" w:hAnsi="宋体" w:eastAsia="宋体" w:cs="宋体"/>
          <w:i w:val="0"/>
          <w:iCs w:val="0"/>
          <w:caps w:val="0"/>
          <w:color w:val="666666"/>
          <w:spacing w:val="0"/>
          <w:sz w:val="24"/>
          <w:szCs w:val="24"/>
          <w:shd w:val="clear" w:fill="FFFFFF"/>
        </w:rPr>
        <w:t>带有电动汽车车辆充电仿真电路，具备绝缘故障模拟功能，可进行绝缘监测功能;</w:t>
      </w:r>
    </w:p>
    <w:p w14:paraId="5DC94F7C">
      <w:pPr>
        <w:pStyle w:val="3"/>
        <w:keepNext w:val="0"/>
        <w:keepLines w:val="0"/>
        <w:widowControl/>
        <w:suppressLineNumbers w:val="0"/>
        <w:shd w:val="clear" w:fill="FFFFFF"/>
        <w:spacing w:before="0" w:beforeAutospacing="0" w:after="0" w:afterAutospacing="0"/>
        <w:ind w:left="0" w:right="0" w:firstLine="420"/>
        <w:jc w:val="left"/>
        <w:rPr>
          <w:rFonts w:hint="eastAsia" w:ascii="宋体" w:hAnsi="宋体" w:eastAsia="宋体" w:cs="宋体"/>
          <w:i w:val="0"/>
          <w:iCs w:val="0"/>
          <w:caps w:val="0"/>
          <w:color w:val="666666"/>
          <w:spacing w:val="0"/>
          <w:sz w:val="24"/>
          <w:szCs w:val="24"/>
          <w:shd w:val="clear" w:fill="FFFFFF"/>
        </w:rPr>
      </w:pPr>
      <w:r>
        <w:rPr>
          <w:rFonts w:hint="eastAsia" w:ascii="宋体" w:hAnsi="宋体" w:eastAsia="宋体" w:cs="宋体"/>
          <w:i w:val="0"/>
          <w:iCs w:val="0"/>
          <w:caps w:val="0"/>
          <w:color w:val="666666"/>
          <w:spacing w:val="0"/>
          <w:sz w:val="24"/>
          <w:szCs w:val="24"/>
          <w:shd w:val="clear" w:fill="FFFFFF"/>
        </w:rPr>
        <w:t>集成了充电接口模拟器、电池电压模拟器、BMS通讯模拟、CAN报文采集模块、嵌入式控制器等设备，完全模拟了电动汽车充电回路，实现插枪即可测试，避免之前多设备连线复杂的状况:</w:t>
      </w:r>
    </w:p>
    <w:p w14:paraId="522EA529">
      <w:pPr>
        <w:pStyle w:val="3"/>
        <w:keepNext w:val="0"/>
        <w:keepLines w:val="0"/>
        <w:widowControl/>
        <w:suppressLineNumbers w:val="0"/>
        <w:shd w:val="clear" w:fill="FFFFFF"/>
        <w:spacing w:before="0" w:beforeAutospacing="0" w:after="0" w:afterAutospacing="0"/>
        <w:ind w:left="0" w:right="0" w:firstLine="420"/>
        <w:jc w:val="left"/>
        <w:rPr>
          <w:rFonts w:hint="eastAsia" w:ascii="宋体" w:hAnsi="宋体" w:eastAsia="宋体" w:cs="宋体"/>
          <w:i w:val="0"/>
          <w:iCs w:val="0"/>
          <w:caps w:val="0"/>
          <w:color w:val="666666"/>
          <w:spacing w:val="0"/>
          <w:sz w:val="24"/>
          <w:szCs w:val="24"/>
          <w:shd w:val="clear" w:fill="FFFFFF"/>
        </w:rPr>
      </w:pPr>
      <w:r>
        <w:rPr>
          <w:rFonts w:hint="eastAsia" w:ascii="宋体" w:hAnsi="宋体" w:eastAsia="宋体" w:cs="宋体"/>
          <w:i w:val="0"/>
          <w:iCs w:val="0"/>
          <w:caps w:val="0"/>
          <w:color w:val="666666"/>
          <w:spacing w:val="0"/>
          <w:sz w:val="24"/>
          <w:szCs w:val="24"/>
          <w:shd w:val="clear" w:fill="FFFFFF"/>
        </w:rPr>
        <w:t>带有功率分析仪等仪器设备采集，准确记录测试数据上位机操作简单，带报文解析功能，可导出测试报文用于充电桩工作状态分析及与异常故障诊断;</w:t>
      </w:r>
    </w:p>
    <w:p w14:paraId="3E8139F6">
      <w:pPr>
        <w:pStyle w:val="3"/>
        <w:keepNext w:val="0"/>
        <w:keepLines w:val="0"/>
        <w:widowControl/>
        <w:suppressLineNumbers w:val="0"/>
        <w:shd w:val="clear" w:fill="FFFFFF"/>
        <w:spacing w:before="0" w:beforeAutospacing="0" w:after="0" w:afterAutospacing="0"/>
        <w:ind w:left="0" w:right="0" w:firstLine="420"/>
        <w:jc w:val="left"/>
        <w:rPr>
          <w:rFonts w:hint="eastAsia" w:ascii="宋体" w:hAnsi="宋体" w:eastAsia="宋体" w:cs="宋体"/>
          <w:i w:val="0"/>
          <w:iCs w:val="0"/>
          <w:caps w:val="0"/>
          <w:color w:val="666666"/>
          <w:spacing w:val="0"/>
          <w:sz w:val="24"/>
          <w:szCs w:val="24"/>
          <w:shd w:val="clear" w:fill="FFFFFF"/>
        </w:rPr>
      </w:pPr>
      <w:r>
        <w:rPr>
          <w:rFonts w:hint="eastAsia" w:ascii="宋体" w:hAnsi="宋体" w:eastAsia="宋体" w:cs="宋体"/>
          <w:i w:val="0"/>
          <w:iCs w:val="0"/>
          <w:caps w:val="0"/>
          <w:color w:val="666666"/>
          <w:spacing w:val="0"/>
          <w:sz w:val="24"/>
          <w:szCs w:val="24"/>
          <w:shd w:val="clear" w:fill="FFFFFF"/>
        </w:rPr>
        <w:t>系统软件实现了控制操作，可对所以仪器设备实行通讯操作，实现自动测试，测试完成可输出测试报告，记录测试数据。</w:t>
      </w:r>
    </w:p>
    <w:p w14:paraId="010FF392">
      <w:pPr>
        <w:pStyle w:val="3"/>
        <w:keepNext w:val="0"/>
        <w:keepLines w:val="0"/>
        <w:widowControl/>
        <w:suppressLineNumbers w:val="0"/>
        <w:shd w:val="clear" w:fill="FFFFFF"/>
        <w:spacing w:before="0" w:beforeAutospacing="0" w:after="0" w:afterAutospacing="0"/>
        <w:ind w:left="0" w:right="0" w:firstLine="420"/>
        <w:jc w:val="left"/>
        <w:rPr>
          <w:rFonts w:hint="eastAsia" w:ascii="宋体" w:hAnsi="宋体" w:eastAsia="宋体" w:cs="宋体"/>
          <w:i w:val="0"/>
          <w:iCs w:val="0"/>
          <w:caps w:val="0"/>
          <w:color w:val="666666"/>
          <w:spacing w:val="0"/>
          <w:sz w:val="24"/>
          <w:szCs w:val="24"/>
          <w:shd w:val="clear" w:fill="FFFFFF"/>
        </w:rPr>
      </w:pPr>
    </w:p>
    <w:tbl>
      <w:tblPr>
        <w:tblStyle w:val="4"/>
        <w:tblpPr w:leftFromText="180" w:rightFromText="180" w:vertAnchor="text" w:horzAnchor="page" w:tblpX="1913" w:tblpY="875"/>
        <w:tblOverlap w:val="never"/>
        <w:tblW w:w="8379"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0" w:type="dxa"/>
          <w:left w:w="150" w:type="dxa"/>
          <w:bottom w:w="150" w:type="dxa"/>
          <w:right w:w="150" w:type="dxa"/>
        </w:tblCellMar>
      </w:tblPr>
      <w:tblGrid>
        <w:gridCol w:w="2765"/>
        <w:gridCol w:w="5614"/>
      </w:tblGrid>
      <w:tr w14:paraId="5C3C206E">
        <w:trPr>
          <w:trHeight w:val="90" w:hRule="atLeast"/>
        </w:trPr>
        <w:tc>
          <w:tcPr>
            <w:tcW w:w="2765" w:type="dxa"/>
            <w:tcBorders>
              <w:top w:val="outset" w:color="auto" w:sz="6" w:space="0"/>
              <w:left w:val="outset" w:color="auto" w:sz="6" w:space="0"/>
              <w:bottom w:val="outset" w:color="auto" w:sz="6" w:space="0"/>
              <w:right w:val="outset" w:color="auto" w:sz="6" w:space="0"/>
            </w:tcBorders>
            <w:shd w:val="clear" w:color="auto" w:fill="00AEEF"/>
            <w:tcMar>
              <w:top w:w="200" w:type="dxa"/>
              <w:left w:w="200" w:type="dxa"/>
              <w:bottom w:w="200" w:type="dxa"/>
              <w:right w:w="200" w:type="dxa"/>
            </w:tcMar>
            <w:vAlign w:val="center"/>
          </w:tcPr>
          <w:p w14:paraId="782724FD">
            <w:pPr>
              <w:pStyle w:val="3"/>
              <w:keepNext w:val="0"/>
              <w:keepLines w:val="0"/>
              <w:widowControl/>
              <w:suppressLineNumbers w:val="0"/>
              <w:shd w:val="clear" w:fill="FFFFFF"/>
              <w:spacing w:before="0" w:beforeAutospacing="0" w:after="0" w:afterAutospacing="0"/>
              <w:ind w:left="0" w:right="0" w:firstLine="720" w:firstLineChars="300"/>
              <w:jc w:val="left"/>
              <w:rPr>
                <w:rFonts w:hint="eastAsia" w:ascii="宋体" w:hAnsi="宋体" w:eastAsia="宋体" w:cs="宋体"/>
                <w:i w:val="0"/>
                <w:iCs w:val="0"/>
                <w:caps w:val="0"/>
                <w:color w:val="666666"/>
                <w:spacing w:val="0"/>
                <w:sz w:val="24"/>
                <w:szCs w:val="24"/>
                <w:shd w:val="clear" w:fill="FFFFFF"/>
              </w:rPr>
            </w:pPr>
            <w:r>
              <w:rPr>
                <w:rFonts w:hint="eastAsia" w:ascii="宋体" w:hAnsi="宋体" w:eastAsia="宋体" w:cs="宋体"/>
                <w:i w:val="0"/>
                <w:iCs w:val="0"/>
                <w:caps w:val="0"/>
                <w:color w:val="666666"/>
                <w:spacing w:val="0"/>
                <w:sz w:val="24"/>
                <w:szCs w:val="24"/>
                <w:shd w:val="clear" w:fill="FFFFFF"/>
                <w:lang w:val="en-US" w:eastAsia="zh-CN"/>
              </w:rPr>
              <w:t>品名</w:t>
            </w:r>
          </w:p>
        </w:tc>
        <w:tc>
          <w:tcPr>
            <w:tcW w:w="5614" w:type="dxa"/>
            <w:tcBorders>
              <w:top w:val="outset" w:color="auto" w:sz="6" w:space="0"/>
              <w:left w:val="outset" w:color="auto" w:sz="6" w:space="0"/>
              <w:bottom w:val="outset" w:color="auto" w:sz="6" w:space="0"/>
              <w:right w:val="outset" w:color="auto" w:sz="6" w:space="0"/>
            </w:tcBorders>
            <w:shd w:val="clear" w:color="auto" w:fill="00AEEF"/>
            <w:tcMar>
              <w:top w:w="200" w:type="dxa"/>
              <w:left w:w="200" w:type="dxa"/>
              <w:bottom w:w="200" w:type="dxa"/>
              <w:right w:w="200" w:type="dxa"/>
            </w:tcMar>
            <w:vAlign w:val="center"/>
          </w:tcPr>
          <w:p w14:paraId="3E975D59">
            <w:pPr>
              <w:pStyle w:val="3"/>
              <w:keepNext w:val="0"/>
              <w:keepLines w:val="0"/>
              <w:widowControl/>
              <w:suppressLineNumbers w:val="0"/>
              <w:shd w:val="clear" w:fill="FFFFFF"/>
              <w:spacing w:before="0" w:beforeAutospacing="0" w:after="0" w:afterAutospacing="0"/>
              <w:ind w:right="0"/>
              <w:jc w:val="left"/>
              <w:rPr>
                <w:rFonts w:hint="eastAsia" w:ascii="宋体" w:hAnsi="宋体" w:eastAsia="宋体" w:cs="宋体"/>
                <w:i w:val="0"/>
                <w:iCs w:val="0"/>
                <w:caps w:val="0"/>
                <w:color w:val="666666"/>
                <w:spacing w:val="0"/>
                <w:sz w:val="24"/>
                <w:szCs w:val="24"/>
                <w:shd w:val="clear" w:fill="FFFFFF"/>
              </w:rPr>
            </w:pPr>
            <w:r>
              <w:rPr>
                <w:rFonts w:hint="eastAsia" w:ascii="宋体" w:hAnsi="宋体" w:eastAsia="宋体" w:cs="宋体"/>
                <w:i w:val="0"/>
                <w:iCs w:val="0"/>
                <w:caps w:val="0"/>
                <w:color w:val="666666"/>
                <w:spacing w:val="0"/>
                <w:sz w:val="24"/>
                <w:szCs w:val="24"/>
                <w:shd w:val="clear" w:fill="FFFFFF"/>
                <w:lang w:val="en-US" w:eastAsia="zh-CN"/>
              </w:rPr>
              <w:t>国欧美直流充电桩(机)研发测试系统AST9000系列</w:t>
            </w:r>
          </w:p>
        </w:tc>
      </w:tr>
      <w:tr w14:paraId="13FD5BE3">
        <w:trPr>
          <w:trHeight w:val="606" w:hRule="atLeast"/>
        </w:trPr>
        <w:tc>
          <w:tcPr>
            <w:tcW w:w="2765" w:type="dxa"/>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08D7247D">
            <w:pPr>
              <w:keepNext w:val="0"/>
              <w:keepLines w:val="0"/>
              <w:widowControl/>
              <w:suppressLineNumbers w:val="0"/>
              <w:jc w:val="center"/>
              <w:rPr>
                <w:rFonts w:hint="eastAsia" w:ascii="宋体" w:hAnsi="宋体" w:eastAsia="宋体" w:cs="宋体"/>
                <w:b/>
                <w:bCs/>
                <w:color w:val="444444"/>
                <w:sz w:val="24"/>
                <w:szCs w:val="24"/>
              </w:rPr>
            </w:pPr>
            <w:r>
              <w:rPr>
                <w:rFonts w:hint="eastAsia" w:ascii="宋体" w:hAnsi="宋体" w:eastAsia="宋体" w:cs="宋体"/>
                <w:b/>
                <w:bCs/>
                <w:color w:val="444444"/>
                <w:kern w:val="0"/>
                <w:sz w:val="24"/>
                <w:szCs w:val="24"/>
                <w:lang w:val="en-US" w:eastAsia="zh-CN" w:bidi="ar"/>
              </w:rPr>
              <w:t>GB/T 18487.1-2015</w:t>
            </w:r>
          </w:p>
        </w:tc>
        <w:tc>
          <w:tcPr>
            <w:tcW w:w="5614" w:type="dxa"/>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4902F1EC">
            <w:pPr>
              <w:keepNext w:val="0"/>
              <w:keepLines w:val="0"/>
              <w:widowControl/>
              <w:suppressLineNumbers w:val="0"/>
              <w:jc w:val="left"/>
              <w:rPr>
                <w:rFonts w:hint="eastAsia" w:ascii="宋体" w:hAnsi="宋体" w:eastAsia="宋体" w:cs="宋体"/>
                <w:color w:val="444444"/>
                <w:sz w:val="24"/>
                <w:szCs w:val="24"/>
              </w:rPr>
            </w:pPr>
            <w:r>
              <w:rPr>
                <w:rFonts w:hint="eastAsia" w:ascii="宋体" w:hAnsi="宋体" w:eastAsia="宋体" w:cs="宋体"/>
                <w:color w:val="444444"/>
                <w:kern w:val="0"/>
                <w:sz w:val="24"/>
                <w:szCs w:val="24"/>
                <w:lang w:val="en-US" w:eastAsia="zh-CN" w:bidi="ar"/>
              </w:rPr>
              <w:t>电动汽车传导充电系统第1部分:通用要求</w:t>
            </w:r>
          </w:p>
        </w:tc>
      </w:tr>
      <w:tr w14:paraId="6DCBC0B0">
        <w:trPr>
          <w:trHeight w:val="842" w:hRule="atLeast"/>
        </w:trPr>
        <w:tc>
          <w:tcPr>
            <w:tcW w:w="2765" w:type="dxa"/>
            <w:tcBorders>
              <w:top w:val="outset" w:color="auto" w:sz="6" w:space="0"/>
              <w:left w:val="outset" w:color="auto" w:sz="6" w:space="0"/>
              <w:bottom w:val="outset" w:color="auto" w:sz="6" w:space="0"/>
              <w:right w:val="outset" w:color="auto" w:sz="6" w:space="0"/>
            </w:tcBorders>
            <w:shd w:val="clear" w:color="auto" w:fill="FCFCFC"/>
            <w:tcMar>
              <w:top w:w="200" w:type="dxa"/>
              <w:left w:w="200" w:type="dxa"/>
              <w:bottom w:w="200" w:type="dxa"/>
              <w:right w:w="200" w:type="dxa"/>
            </w:tcMar>
            <w:vAlign w:val="center"/>
          </w:tcPr>
          <w:p w14:paraId="611BFF56">
            <w:pPr>
              <w:keepNext w:val="0"/>
              <w:keepLines w:val="0"/>
              <w:widowControl/>
              <w:suppressLineNumbers w:val="0"/>
              <w:jc w:val="center"/>
              <w:rPr>
                <w:rFonts w:hint="eastAsia" w:ascii="宋体" w:hAnsi="宋体" w:eastAsia="宋体" w:cs="宋体"/>
                <w:b/>
                <w:bCs/>
                <w:color w:val="444444"/>
                <w:sz w:val="24"/>
                <w:szCs w:val="24"/>
              </w:rPr>
            </w:pPr>
            <w:r>
              <w:rPr>
                <w:rFonts w:hint="eastAsia" w:ascii="宋体" w:hAnsi="宋体" w:eastAsia="宋体" w:cs="宋体"/>
                <w:b/>
                <w:bCs/>
                <w:color w:val="444444"/>
                <w:kern w:val="0"/>
                <w:sz w:val="24"/>
                <w:szCs w:val="24"/>
                <w:lang w:val="en-US" w:eastAsia="zh-CN" w:bidi="ar"/>
              </w:rPr>
              <w:t>GB/T27930-2015</w:t>
            </w:r>
          </w:p>
        </w:tc>
        <w:tc>
          <w:tcPr>
            <w:tcW w:w="5614" w:type="dxa"/>
            <w:tcBorders>
              <w:top w:val="outset" w:color="auto" w:sz="6" w:space="0"/>
              <w:left w:val="outset" w:color="auto" w:sz="6" w:space="0"/>
              <w:bottom w:val="outset" w:color="auto" w:sz="6" w:space="0"/>
              <w:right w:val="outset" w:color="auto" w:sz="6" w:space="0"/>
            </w:tcBorders>
            <w:shd w:val="clear" w:color="auto" w:fill="FCFCFC"/>
            <w:tcMar>
              <w:top w:w="200" w:type="dxa"/>
              <w:left w:w="200" w:type="dxa"/>
              <w:bottom w:w="200" w:type="dxa"/>
              <w:right w:w="200" w:type="dxa"/>
            </w:tcMar>
            <w:vAlign w:val="center"/>
          </w:tcPr>
          <w:p w14:paraId="5262D15D">
            <w:pPr>
              <w:keepNext w:val="0"/>
              <w:keepLines w:val="0"/>
              <w:widowControl/>
              <w:suppressLineNumbers w:val="0"/>
              <w:jc w:val="left"/>
              <w:rPr>
                <w:rFonts w:hint="eastAsia" w:ascii="宋体" w:hAnsi="宋体" w:eastAsia="宋体" w:cs="宋体"/>
                <w:color w:val="444444"/>
                <w:sz w:val="24"/>
                <w:szCs w:val="24"/>
              </w:rPr>
            </w:pPr>
            <w:r>
              <w:rPr>
                <w:rFonts w:hint="eastAsia" w:ascii="宋体" w:hAnsi="宋体" w:eastAsia="宋体" w:cs="宋体"/>
                <w:color w:val="444444"/>
                <w:kern w:val="0"/>
                <w:sz w:val="24"/>
                <w:szCs w:val="24"/>
                <w:lang w:val="en-US" w:eastAsia="zh-CN" w:bidi="ar"/>
              </w:rPr>
              <w:t>电动汽车非车载传导式充电机与电池管理系统之间的通信协议</w:t>
            </w:r>
          </w:p>
        </w:tc>
      </w:tr>
      <w:tr w14:paraId="274B7C59">
        <w:trPr>
          <w:trHeight w:val="877" w:hRule="atLeast"/>
        </w:trPr>
        <w:tc>
          <w:tcPr>
            <w:tcW w:w="2765" w:type="dxa"/>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1CE2FD93">
            <w:pPr>
              <w:keepNext w:val="0"/>
              <w:keepLines w:val="0"/>
              <w:widowControl/>
              <w:suppressLineNumbers w:val="0"/>
              <w:jc w:val="center"/>
              <w:rPr>
                <w:rFonts w:hint="eastAsia" w:ascii="宋体" w:hAnsi="宋体" w:eastAsia="宋体" w:cs="宋体"/>
                <w:b/>
                <w:bCs/>
                <w:color w:val="444444"/>
                <w:sz w:val="24"/>
                <w:szCs w:val="24"/>
              </w:rPr>
            </w:pPr>
            <w:r>
              <w:rPr>
                <w:rFonts w:hint="eastAsia" w:ascii="宋体" w:hAnsi="宋体" w:eastAsia="宋体" w:cs="宋体"/>
                <w:b/>
                <w:bCs/>
                <w:color w:val="444444"/>
                <w:kern w:val="0"/>
                <w:sz w:val="24"/>
                <w:szCs w:val="24"/>
                <w:lang w:val="en-US" w:eastAsia="zh-CN" w:bidi="ar"/>
              </w:rPr>
              <w:t>GB/T 34657.1-2017</w:t>
            </w:r>
          </w:p>
        </w:tc>
        <w:tc>
          <w:tcPr>
            <w:tcW w:w="5614" w:type="dxa"/>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1BCE281F">
            <w:pPr>
              <w:keepNext w:val="0"/>
              <w:keepLines w:val="0"/>
              <w:widowControl/>
              <w:suppressLineNumbers w:val="0"/>
              <w:jc w:val="left"/>
              <w:rPr>
                <w:rFonts w:hint="eastAsia" w:ascii="宋体" w:hAnsi="宋体" w:eastAsia="宋体" w:cs="宋体"/>
                <w:color w:val="444444"/>
                <w:sz w:val="24"/>
                <w:szCs w:val="24"/>
              </w:rPr>
            </w:pPr>
            <w:r>
              <w:rPr>
                <w:rFonts w:hint="eastAsia" w:ascii="宋体" w:hAnsi="宋体" w:eastAsia="宋体" w:cs="宋体"/>
                <w:color w:val="444444"/>
                <w:kern w:val="0"/>
                <w:sz w:val="24"/>
                <w:szCs w:val="24"/>
                <w:lang w:val="en-US" w:eastAsia="zh-CN" w:bidi="ar"/>
              </w:rPr>
              <w:t>电动汽车传导充电互操作性测试规范</w:t>
            </w:r>
          </w:p>
        </w:tc>
      </w:tr>
      <w:tr w14:paraId="41970E17">
        <w:trPr>
          <w:trHeight w:val="610" w:hRule="atLeast"/>
        </w:trPr>
        <w:tc>
          <w:tcPr>
            <w:tcW w:w="2765" w:type="dxa"/>
            <w:tcBorders>
              <w:top w:val="outset" w:color="auto" w:sz="6" w:space="0"/>
              <w:left w:val="outset" w:color="auto" w:sz="6" w:space="0"/>
              <w:bottom w:val="outset" w:color="auto" w:sz="6" w:space="0"/>
              <w:right w:val="outset" w:color="auto" w:sz="6" w:space="0"/>
            </w:tcBorders>
            <w:shd w:val="clear" w:color="auto" w:fill="FCFCFC"/>
            <w:tcMar>
              <w:top w:w="200" w:type="dxa"/>
              <w:left w:w="200" w:type="dxa"/>
              <w:bottom w:w="200" w:type="dxa"/>
              <w:right w:w="200" w:type="dxa"/>
            </w:tcMar>
            <w:vAlign w:val="center"/>
          </w:tcPr>
          <w:p w14:paraId="4A91EA20">
            <w:pPr>
              <w:keepNext w:val="0"/>
              <w:keepLines w:val="0"/>
              <w:widowControl/>
              <w:suppressLineNumbers w:val="0"/>
              <w:jc w:val="center"/>
              <w:rPr>
                <w:rFonts w:hint="eastAsia" w:ascii="宋体" w:hAnsi="宋体" w:eastAsia="宋体" w:cs="宋体"/>
                <w:b/>
                <w:bCs/>
                <w:color w:val="444444"/>
                <w:sz w:val="24"/>
                <w:szCs w:val="24"/>
              </w:rPr>
            </w:pPr>
            <w:r>
              <w:rPr>
                <w:rFonts w:hint="eastAsia" w:ascii="宋体" w:hAnsi="宋体" w:eastAsia="宋体" w:cs="宋体"/>
                <w:b/>
                <w:bCs/>
                <w:color w:val="444444"/>
                <w:kern w:val="0"/>
                <w:sz w:val="24"/>
                <w:szCs w:val="24"/>
                <w:lang w:val="en-US" w:eastAsia="zh-CN" w:bidi="ar"/>
              </w:rPr>
              <w:t>GB/T34658-2017</w:t>
            </w:r>
          </w:p>
        </w:tc>
        <w:tc>
          <w:tcPr>
            <w:tcW w:w="5614" w:type="dxa"/>
            <w:tcBorders>
              <w:top w:val="outset" w:color="auto" w:sz="6" w:space="0"/>
              <w:left w:val="outset" w:color="auto" w:sz="6" w:space="0"/>
              <w:bottom w:val="outset" w:color="auto" w:sz="6" w:space="0"/>
              <w:right w:val="outset" w:color="auto" w:sz="6" w:space="0"/>
            </w:tcBorders>
            <w:shd w:val="clear" w:color="auto" w:fill="FCFCFC"/>
            <w:tcMar>
              <w:top w:w="200" w:type="dxa"/>
              <w:left w:w="200" w:type="dxa"/>
              <w:bottom w:w="200" w:type="dxa"/>
              <w:right w:w="200" w:type="dxa"/>
            </w:tcMar>
            <w:vAlign w:val="center"/>
          </w:tcPr>
          <w:p w14:paraId="2D9BEE0E">
            <w:pPr>
              <w:keepNext w:val="0"/>
              <w:keepLines w:val="0"/>
              <w:widowControl/>
              <w:suppressLineNumbers w:val="0"/>
              <w:jc w:val="left"/>
              <w:rPr>
                <w:rFonts w:hint="eastAsia" w:ascii="宋体" w:hAnsi="宋体" w:eastAsia="宋体" w:cs="宋体"/>
                <w:color w:val="444444"/>
                <w:sz w:val="24"/>
                <w:szCs w:val="24"/>
              </w:rPr>
            </w:pPr>
            <w:r>
              <w:rPr>
                <w:rFonts w:hint="eastAsia" w:ascii="宋体" w:hAnsi="宋体" w:eastAsia="宋体" w:cs="宋体"/>
                <w:color w:val="444444"/>
                <w:kern w:val="0"/>
                <w:sz w:val="24"/>
                <w:szCs w:val="24"/>
                <w:lang w:val="en-US" w:eastAsia="zh-CN" w:bidi="ar"/>
              </w:rPr>
              <w:t>电动汽车非车载传导式充电机与电池管理系统之间的通信协议一致性测试</w:t>
            </w:r>
          </w:p>
        </w:tc>
      </w:tr>
      <w:tr w14:paraId="7EF5A272">
        <w:trPr>
          <w:trHeight w:val="809" w:hRule="atLeast"/>
        </w:trPr>
        <w:tc>
          <w:tcPr>
            <w:tcW w:w="2765" w:type="dxa"/>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47E4D54E">
            <w:pPr>
              <w:keepNext w:val="0"/>
              <w:keepLines w:val="0"/>
              <w:widowControl/>
              <w:suppressLineNumbers w:val="0"/>
              <w:jc w:val="center"/>
              <w:rPr>
                <w:rFonts w:hint="eastAsia" w:ascii="宋体" w:hAnsi="宋体" w:eastAsia="宋体" w:cs="宋体"/>
                <w:b/>
                <w:bCs/>
                <w:color w:val="444444"/>
                <w:sz w:val="24"/>
                <w:szCs w:val="24"/>
              </w:rPr>
            </w:pPr>
            <w:r>
              <w:rPr>
                <w:rFonts w:hint="eastAsia" w:ascii="宋体" w:hAnsi="宋体" w:eastAsia="宋体" w:cs="宋体"/>
                <w:b/>
                <w:bCs/>
                <w:color w:val="444444"/>
                <w:kern w:val="0"/>
                <w:sz w:val="24"/>
                <w:szCs w:val="24"/>
                <w:lang w:val="en-US" w:eastAsia="zh-CN" w:bidi="ar"/>
              </w:rPr>
              <w:t>NBT33008.1-2018</w:t>
            </w:r>
          </w:p>
        </w:tc>
        <w:tc>
          <w:tcPr>
            <w:tcW w:w="5614" w:type="dxa"/>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0EA22639">
            <w:pPr>
              <w:keepNext w:val="0"/>
              <w:keepLines w:val="0"/>
              <w:widowControl/>
              <w:suppressLineNumbers w:val="0"/>
              <w:jc w:val="left"/>
              <w:rPr>
                <w:rFonts w:hint="eastAsia" w:ascii="宋体" w:hAnsi="宋体" w:eastAsia="宋体" w:cs="宋体"/>
                <w:color w:val="444444"/>
                <w:sz w:val="24"/>
                <w:szCs w:val="24"/>
              </w:rPr>
            </w:pPr>
            <w:r>
              <w:rPr>
                <w:rFonts w:hint="eastAsia" w:ascii="宋体" w:hAnsi="宋体" w:eastAsia="宋体" w:cs="宋体"/>
                <w:color w:val="444444"/>
                <w:kern w:val="0"/>
                <w:sz w:val="24"/>
                <w:szCs w:val="24"/>
                <w:lang w:val="en-US" w:eastAsia="zh-CN" w:bidi="ar"/>
              </w:rPr>
              <w:t>电动汽车充电设备检验试验规范第1部分:非车载充电机</w:t>
            </w:r>
          </w:p>
        </w:tc>
      </w:tr>
      <w:tr w14:paraId="61F34721">
        <w:trPr>
          <w:trHeight w:val="633" w:hRule="atLeast"/>
        </w:trPr>
        <w:tc>
          <w:tcPr>
            <w:tcW w:w="2765" w:type="dxa"/>
            <w:tcBorders>
              <w:top w:val="outset" w:color="auto" w:sz="6" w:space="0"/>
              <w:left w:val="outset" w:color="auto" w:sz="6" w:space="0"/>
              <w:bottom w:val="outset" w:color="auto" w:sz="6" w:space="0"/>
              <w:right w:val="outset" w:color="auto" w:sz="6" w:space="0"/>
            </w:tcBorders>
            <w:shd w:val="clear" w:color="auto" w:fill="FCFCFC"/>
            <w:tcMar>
              <w:top w:w="200" w:type="dxa"/>
              <w:left w:w="200" w:type="dxa"/>
              <w:bottom w:w="200" w:type="dxa"/>
              <w:right w:w="200" w:type="dxa"/>
            </w:tcMar>
            <w:vAlign w:val="center"/>
          </w:tcPr>
          <w:p w14:paraId="54C88943">
            <w:pPr>
              <w:keepNext w:val="0"/>
              <w:keepLines w:val="0"/>
              <w:widowControl/>
              <w:suppressLineNumbers w:val="0"/>
              <w:jc w:val="center"/>
              <w:rPr>
                <w:rFonts w:hint="eastAsia" w:ascii="宋体" w:hAnsi="宋体" w:eastAsia="宋体" w:cs="宋体"/>
                <w:b/>
                <w:bCs/>
                <w:color w:val="444444"/>
                <w:sz w:val="24"/>
                <w:szCs w:val="24"/>
              </w:rPr>
            </w:pPr>
            <w:r>
              <w:rPr>
                <w:rFonts w:hint="eastAsia" w:ascii="宋体" w:hAnsi="宋体" w:eastAsia="宋体" w:cs="宋体"/>
                <w:b/>
                <w:bCs/>
                <w:color w:val="444444"/>
                <w:kern w:val="0"/>
                <w:sz w:val="24"/>
                <w:szCs w:val="24"/>
                <w:lang w:val="en-US" w:eastAsia="zh-CN" w:bidi="ar"/>
              </w:rPr>
              <w:t>JJG1149-2022</w:t>
            </w:r>
          </w:p>
        </w:tc>
        <w:tc>
          <w:tcPr>
            <w:tcW w:w="5614" w:type="dxa"/>
            <w:tcBorders>
              <w:top w:val="outset" w:color="auto" w:sz="6" w:space="0"/>
              <w:left w:val="outset" w:color="auto" w:sz="6" w:space="0"/>
              <w:bottom w:val="outset" w:color="auto" w:sz="6" w:space="0"/>
              <w:right w:val="outset" w:color="auto" w:sz="6" w:space="0"/>
            </w:tcBorders>
            <w:shd w:val="clear" w:color="auto" w:fill="FCFCFC"/>
            <w:tcMar>
              <w:top w:w="200" w:type="dxa"/>
              <w:left w:w="200" w:type="dxa"/>
              <w:bottom w:w="200" w:type="dxa"/>
              <w:right w:w="200" w:type="dxa"/>
            </w:tcMar>
            <w:vAlign w:val="center"/>
          </w:tcPr>
          <w:p w14:paraId="28CF9D5A">
            <w:pPr>
              <w:keepNext w:val="0"/>
              <w:keepLines w:val="0"/>
              <w:widowControl/>
              <w:suppressLineNumbers w:val="0"/>
              <w:jc w:val="left"/>
              <w:rPr>
                <w:rFonts w:hint="eastAsia" w:ascii="宋体" w:hAnsi="宋体" w:eastAsia="宋体" w:cs="宋体"/>
                <w:color w:val="444444"/>
                <w:sz w:val="24"/>
                <w:szCs w:val="24"/>
              </w:rPr>
            </w:pPr>
            <w:r>
              <w:rPr>
                <w:rFonts w:hint="eastAsia" w:ascii="宋体" w:hAnsi="宋体" w:eastAsia="宋体" w:cs="宋体"/>
                <w:color w:val="444444"/>
                <w:kern w:val="0"/>
                <w:sz w:val="24"/>
                <w:szCs w:val="24"/>
                <w:lang w:val="en-US" w:eastAsia="zh-CN" w:bidi="ar"/>
              </w:rPr>
              <w:t>电动汽车非车载充电机</w:t>
            </w:r>
          </w:p>
        </w:tc>
      </w:tr>
      <w:tr w14:paraId="02DCE0EF">
        <w:trPr>
          <w:trHeight w:val="692" w:hRule="atLeast"/>
        </w:trPr>
        <w:tc>
          <w:tcPr>
            <w:tcW w:w="2765" w:type="dxa"/>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0F1D7CC0">
            <w:pPr>
              <w:keepNext w:val="0"/>
              <w:keepLines w:val="0"/>
              <w:widowControl/>
              <w:suppressLineNumbers w:val="0"/>
              <w:jc w:val="center"/>
              <w:rPr>
                <w:rFonts w:hint="eastAsia" w:ascii="宋体" w:hAnsi="宋体" w:eastAsia="宋体" w:cs="宋体"/>
                <w:b/>
                <w:bCs/>
                <w:color w:val="444444"/>
                <w:sz w:val="24"/>
                <w:szCs w:val="24"/>
              </w:rPr>
            </w:pPr>
            <w:r>
              <w:rPr>
                <w:rFonts w:hint="eastAsia" w:ascii="宋体" w:hAnsi="宋体" w:eastAsia="宋体" w:cs="宋体"/>
                <w:b/>
                <w:bCs/>
                <w:color w:val="444444"/>
                <w:kern w:val="0"/>
                <w:sz w:val="24"/>
                <w:szCs w:val="24"/>
                <w:lang w:val="en-US" w:eastAsia="zh-CN" w:bidi="ar"/>
              </w:rPr>
              <w:t>EC61851-1</w:t>
            </w:r>
          </w:p>
        </w:tc>
        <w:tc>
          <w:tcPr>
            <w:tcW w:w="5614" w:type="dxa"/>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44634B16">
            <w:pPr>
              <w:keepNext w:val="0"/>
              <w:keepLines w:val="0"/>
              <w:widowControl/>
              <w:suppressLineNumbers w:val="0"/>
              <w:jc w:val="left"/>
              <w:rPr>
                <w:rFonts w:hint="eastAsia" w:ascii="宋体" w:hAnsi="宋体" w:eastAsia="宋体" w:cs="宋体"/>
                <w:color w:val="444444"/>
                <w:sz w:val="24"/>
                <w:szCs w:val="24"/>
              </w:rPr>
            </w:pPr>
            <w:r>
              <w:rPr>
                <w:rFonts w:hint="eastAsia" w:ascii="宋体" w:hAnsi="宋体" w:eastAsia="宋体" w:cs="宋体"/>
                <w:color w:val="444444"/>
                <w:kern w:val="0"/>
                <w:sz w:val="24"/>
                <w:szCs w:val="24"/>
                <w:lang w:val="en-US" w:eastAsia="zh-CN" w:bidi="ar"/>
              </w:rPr>
              <w:t>Exigences generales</w:t>
            </w:r>
          </w:p>
        </w:tc>
      </w:tr>
      <w:tr w14:paraId="278D1B11">
        <w:trPr>
          <w:trHeight w:val="609" w:hRule="atLeast"/>
        </w:trPr>
        <w:tc>
          <w:tcPr>
            <w:tcW w:w="2765" w:type="dxa"/>
            <w:tcBorders>
              <w:top w:val="outset" w:color="auto" w:sz="6" w:space="0"/>
              <w:left w:val="outset" w:color="auto" w:sz="6" w:space="0"/>
              <w:bottom w:val="outset" w:color="auto" w:sz="6" w:space="0"/>
              <w:right w:val="outset" w:color="auto" w:sz="6" w:space="0"/>
            </w:tcBorders>
            <w:shd w:val="clear" w:color="auto" w:fill="FCFCFC"/>
            <w:tcMar>
              <w:top w:w="200" w:type="dxa"/>
              <w:left w:w="200" w:type="dxa"/>
              <w:bottom w:w="200" w:type="dxa"/>
              <w:right w:w="200" w:type="dxa"/>
            </w:tcMar>
            <w:vAlign w:val="center"/>
          </w:tcPr>
          <w:p w14:paraId="63534711">
            <w:pPr>
              <w:keepNext w:val="0"/>
              <w:keepLines w:val="0"/>
              <w:widowControl/>
              <w:suppressLineNumbers w:val="0"/>
              <w:jc w:val="center"/>
              <w:rPr>
                <w:rFonts w:hint="eastAsia" w:ascii="宋体" w:hAnsi="宋体" w:eastAsia="宋体" w:cs="宋体"/>
                <w:b/>
                <w:bCs/>
                <w:color w:val="444444"/>
                <w:sz w:val="24"/>
                <w:szCs w:val="24"/>
              </w:rPr>
            </w:pPr>
            <w:r>
              <w:rPr>
                <w:rFonts w:hint="eastAsia" w:ascii="宋体" w:hAnsi="宋体" w:eastAsia="宋体" w:cs="宋体"/>
                <w:b/>
                <w:bCs/>
                <w:color w:val="444444"/>
                <w:kern w:val="0"/>
                <w:sz w:val="24"/>
                <w:szCs w:val="24"/>
                <w:lang w:val="en-US" w:eastAsia="zh-CN" w:bidi="ar"/>
              </w:rPr>
              <w:t>IEC61851-23</w:t>
            </w:r>
          </w:p>
        </w:tc>
        <w:tc>
          <w:tcPr>
            <w:tcW w:w="5614" w:type="dxa"/>
            <w:tcBorders>
              <w:top w:val="outset" w:color="auto" w:sz="6" w:space="0"/>
              <w:left w:val="outset" w:color="auto" w:sz="6" w:space="0"/>
              <w:bottom w:val="outset" w:color="auto" w:sz="6" w:space="0"/>
              <w:right w:val="outset" w:color="auto" w:sz="6" w:space="0"/>
            </w:tcBorders>
            <w:shd w:val="clear" w:color="auto" w:fill="FCFCFC"/>
            <w:tcMar>
              <w:top w:w="200" w:type="dxa"/>
              <w:left w:w="200" w:type="dxa"/>
              <w:bottom w:w="200" w:type="dxa"/>
              <w:right w:w="200" w:type="dxa"/>
            </w:tcMar>
            <w:vAlign w:val="center"/>
          </w:tcPr>
          <w:p w14:paraId="5DB3253D">
            <w:pPr>
              <w:keepNext w:val="0"/>
              <w:keepLines w:val="0"/>
              <w:widowControl/>
              <w:suppressLineNumbers w:val="0"/>
              <w:jc w:val="left"/>
              <w:rPr>
                <w:rFonts w:hint="eastAsia" w:ascii="宋体" w:hAnsi="宋体" w:eastAsia="宋体" w:cs="宋体"/>
                <w:color w:val="444444"/>
                <w:sz w:val="24"/>
                <w:szCs w:val="24"/>
              </w:rPr>
            </w:pPr>
            <w:r>
              <w:rPr>
                <w:rFonts w:hint="eastAsia" w:ascii="宋体" w:hAnsi="宋体" w:eastAsia="宋体" w:cs="宋体"/>
                <w:color w:val="444444"/>
                <w:kern w:val="0"/>
                <w:sz w:val="24"/>
                <w:szCs w:val="24"/>
                <w:lang w:val="en-US" w:eastAsia="zh-CN" w:bidi="ar"/>
              </w:rPr>
              <w:t>DC electric vehice charging station</w:t>
            </w:r>
          </w:p>
        </w:tc>
      </w:tr>
      <w:tr w14:paraId="7E7746F7">
        <w:trPr>
          <w:trHeight w:val="675" w:hRule="atLeast"/>
        </w:trPr>
        <w:tc>
          <w:tcPr>
            <w:tcW w:w="2765" w:type="dxa"/>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3F95CCD0">
            <w:pPr>
              <w:keepNext w:val="0"/>
              <w:keepLines w:val="0"/>
              <w:widowControl/>
              <w:suppressLineNumbers w:val="0"/>
              <w:jc w:val="center"/>
              <w:rPr>
                <w:rFonts w:hint="eastAsia" w:ascii="宋体" w:hAnsi="宋体" w:eastAsia="宋体" w:cs="宋体"/>
                <w:b/>
                <w:bCs/>
                <w:color w:val="444444"/>
                <w:sz w:val="24"/>
                <w:szCs w:val="24"/>
              </w:rPr>
            </w:pPr>
            <w:r>
              <w:rPr>
                <w:rFonts w:hint="eastAsia" w:ascii="宋体" w:hAnsi="宋体" w:eastAsia="宋体" w:cs="宋体"/>
                <w:b/>
                <w:bCs/>
                <w:color w:val="444444"/>
                <w:kern w:val="0"/>
                <w:sz w:val="24"/>
                <w:szCs w:val="24"/>
                <w:lang w:val="en-US" w:eastAsia="zh-CN" w:bidi="ar"/>
              </w:rPr>
              <w:t>SAEJ1772-2017</w:t>
            </w:r>
          </w:p>
        </w:tc>
        <w:tc>
          <w:tcPr>
            <w:tcW w:w="5614" w:type="dxa"/>
            <w:tcBorders>
              <w:top w:val="outset" w:color="auto" w:sz="6" w:space="0"/>
              <w:left w:val="outset" w:color="auto" w:sz="6" w:space="0"/>
              <w:bottom w:val="outset" w:color="auto" w:sz="6" w:space="0"/>
              <w:right w:val="outset" w:color="auto" w:sz="6" w:space="0"/>
            </w:tcBorders>
            <w:shd w:val="clear" w:color="auto" w:fill="EEEEEE"/>
            <w:tcMar>
              <w:top w:w="200" w:type="dxa"/>
              <w:left w:w="200" w:type="dxa"/>
              <w:bottom w:w="200" w:type="dxa"/>
              <w:right w:w="200" w:type="dxa"/>
            </w:tcMar>
            <w:vAlign w:val="center"/>
          </w:tcPr>
          <w:p w14:paraId="578E03F6">
            <w:pPr>
              <w:keepNext w:val="0"/>
              <w:keepLines w:val="0"/>
              <w:widowControl/>
              <w:suppressLineNumbers w:val="0"/>
              <w:jc w:val="left"/>
              <w:rPr>
                <w:rFonts w:hint="eastAsia" w:ascii="宋体" w:hAnsi="宋体" w:eastAsia="宋体" w:cs="宋体"/>
                <w:color w:val="444444"/>
                <w:sz w:val="24"/>
                <w:szCs w:val="24"/>
              </w:rPr>
            </w:pPr>
            <w:r>
              <w:rPr>
                <w:rFonts w:hint="eastAsia" w:ascii="宋体" w:hAnsi="宋体" w:eastAsia="宋体" w:cs="宋体"/>
                <w:color w:val="444444"/>
                <w:kern w:val="0"/>
                <w:sz w:val="24"/>
                <w:szCs w:val="24"/>
                <w:lang w:val="en-US" w:eastAsia="zh-CN" w:bidi="ar"/>
              </w:rPr>
              <w:t>SAE Electric Vehicle and Plug in Hybrid Electric Vehicle Conductive Charge Coupler</w:t>
            </w:r>
          </w:p>
        </w:tc>
      </w:tr>
    </w:tbl>
    <w:p w14:paraId="2075CAF5">
      <w:pPr>
        <w:pStyle w:val="3"/>
        <w:keepNext w:val="0"/>
        <w:keepLines w:val="0"/>
        <w:widowControl/>
        <w:suppressLineNumbers w:val="0"/>
        <w:shd w:val="clear" w:fill="FFFFFF"/>
        <w:spacing w:before="0" w:beforeAutospacing="0" w:after="0" w:afterAutospacing="0"/>
        <w:ind w:left="0" w:right="0" w:firstLine="420"/>
        <w:jc w:val="left"/>
        <w:rPr>
          <w:rFonts w:hint="eastAsia" w:ascii="宋体" w:hAnsi="宋体" w:eastAsia="宋体" w:cs="宋体"/>
          <w:i w:val="0"/>
          <w:iCs w:val="0"/>
          <w:caps w:val="0"/>
          <w:color w:val="666666"/>
          <w:spacing w:val="0"/>
          <w:sz w:val="24"/>
          <w:szCs w:val="24"/>
          <w:shd w:val="clear" w:fill="FFFFFF"/>
        </w:rPr>
      </w:pPr>
      <w:r>
        <w:rPr>
          <w:rFonts w:hint="eastAsia" w:ascii="宋体" w:hAnsi="宋体" w:eastAsia="宋体" w:cs="宋体"/>
          <w:i w:val="0"/>
          <w:iCs w:val="0"/>
          <w:caps w:val="0"/>
          <w:color w:val="666666"/>
          <w:spacing w:val="0"/>
          <w:sz w:val="24"/>
          <w:szCs w:val="24"/>
          <w:shd w:val="clear" w:fill="FFFFFF"/>
        </w:rPr>
        <w:t> </w:t>
      </w:r>
    </w:p>
    <w:p w14:paraId="2A18DFCB">
      <w:pPr>
        <w:pStyle w:val="3"/>
        <w:keepNext w:val="0"/>
        <w:keepLines w:val="0"/>
        <w:widowControl/>
        <w:suppressLineNumbers w:val="0"/>
        <w:shd w:val="clear" w:fill="FFFFFF"/>
        <w:spacing w:before="0" w:beforeAutospacing="0" w:after="0" w:afterAutospacing="0"/>
        <w:ind w:left="0" w:right="0" w:firstLine="420"/>
        <w:jc w:val="left"/>
        <w:rPr>
          <w:rFonts w:hint="eastAsia" w:ascii="宋体" w:hAnsi="宋体" w:eastAsia="宋体" w:cs="宋体"/>
          <w:i w:val="0"/>
          <w:iCs w:val="0"/>
          <w:caps w:val="0"/>
          <w:color w:val="666666"/>
          <w:spacing w:val="0"/>
          <w:sz w:val="24"/>
          <w:szCs w:val="24"/>
          <w:shd w:val="clear" w:fill="FFFFFF"/>
        </w:rPr>
      </w:pPr>
      <w:r>
        <w:rPr>
          <w:rFonts w:hint="eastAsia" w:ascii="宋体" w:hAnsi="宋体" w:eastAsia="宋体" w:cs="宋体"/>
          <w:i w:val="0"/>
          <w:iCs w:val="0"/>
          <w:caps w:val="0"/>
          <w:color w:val="666666"/>
          <w:spacing w:val="0"/>
          <w:sz w:val="24"/>
          <w:szCs w:val="24"/>
          <w:shd w:val="clear" w:fill="FFFFFF"/>
        </w:rPr>
        <w:t> </w:t>
      </w:r>
    </w:p>
    <w:p w14:paraId="2E55907D">
      <w:pPr>
        <w:rPr>
          <w:rFonts w:hint="eastAsia" w:ascii="宋体" w:hAnsi="宋体" w:eastAsia="宋体" w:cs="宋体"/>
          <w:sz w:val="24"/>
          <w:szCs w:val="24"/>
          <w:lang w:val="en-US" w:eastAsia="zh-CN"/>
        </w:rPr>
      </w:pPr>
    </w:p>
    <w:p w14:paraId="038ED9E8">
      <w:pPr>
        <w:rPr>
          <w:rFonts w:hint="eastAsia"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 w:name="微软雅黑">
    <w:altName w:val="汉仪旗黑"/>
    <w:panose1 w:val="00000000000000000000"/>
    <w:charset w:val="00"/>
    <w:family w:val="auto"/>
    <w:pitch w:val="default"/>
    <w:sig w:usb0="00000000" w:usb1="00000000" w:usb2="00000000" w:usb3="00000000" w:csb0="00000000" w:csb1="00000000"/>
  </w:font>
  <w:font w:name="汉仪旗黑">
    <w:panose1 w:val="00020600040101010101"/>
    <w:charset w:val="86"/>
    <w:family w:val="auto"/>
    <w:pitch w:val="default"/>
    <w:sig w:usb0="A00002BF" w:usb1="1ACF7CFA" w:usb2="00000016"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F78E02"/>
    <w:rsid w:val="7FF78E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3</TotalTime>
  <ScaleCrop>false</ScaleCrop>
  <LinksUpToDate>false</LinksUpToDate>
  <CharactersWithSpaces>0</CharactersWithSpaces>
  <Application>WPS Office_12.1.25205.25205_F1E327BC-269C-435d-A152-05C5408002CA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2026-08-18T14:27:00Z</dcterms:created>
  <dc:creator>Gwen</dc:creator>
  <cp:lastModifiedBy>Gwen</cp:lastModifiedBy>
  <dcterms:modified xsi:type="dcterms:W3CDTF">2026-08-18T14:31:04Z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5D60904CC04DD6D435FB836A93DBACF6_41</vt:lpwstr>
  </property>
</Properties>
</file>