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32A2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i w:val="0"/>
          <w:iCs w:val="0"/>
          <w:caps w:val="0"/>
          <w:color w:val="666666"/>
          <w:spacing w:val="0"/>
          <w:sz w:val="24"/>
          <w:szCs w:val="24"/>
        </w:rPr>
      </w:pPr>
      <w:r>
        <w:rPr>
          <w:rStyle w:val="5"/>
          <w:rFonts w:hint="eastAsia" w:asciiTheme="minorEastAsia" w:hAnsiTheme="minorEastAsia" w:eastAsiaTheme="minorEastAsia" w:cstheme="minorEastAsia"/>
          <w:b/>
          <w:bCs/>
          <w:i w:val="0"/>
          <w:iCs w:val="0"/>
          <w:caps w:val="0"/>
          <w:color w:val="666666"/>
          <w:spacing w:val="0"/>
          <w:sz w:val="24"/>
          <w:szCs w:val="24"/>
          <w:shd w:val="clear" w:fill="FFFFFF"/>
        </w:rPr>
        <w:t>Saiter便携式交流充电桩(机)测试仪ST-6680EA-AC</w:t>
      </w:r>
      <w:r>
        <w:rPr>
          <w:rFonts w:hint="eastAsia" w:asciiTheme="minorEastAsia" w:hAnsiTheme="minorEastAsia" w:eastAsiaTheme="minorEastAsia" w:cstheme="minorEastAsia"/>
          <w:i w:val="0"/>
          <w:iCs w:val="0"/>
          <w:caps w:val="0"/>
          <w:color w:val="666666"/>
          <w:spacing w:val="0"/>
          <w:sz w:val="24"/>
          <w:szCs w:val="24"/>
          <w:shd w:val="clear" w:fill="FFFFFF"/>
        </w:rPr>
        <w:t>，是一款专门用于电动汽车欧标交流充电桩(机)的现场第三方检测装置，应用于电动汽车非车载传导式充电机产品现场测试及产品验收功能验证，适用于交流充电桩生产厂家研发、第三方检测机构现场验收/巡检，及交流充电桩购买方、检测单位等进行现场验收测试;其具备的实用功能避免了采用电动汽车实车作为检测装置带来的测试使用不方便测试内容不全面等问题，同时可避免充电桩故障而导致测试车辆损坏。</w:t>
      </w:r>
    </w:p>
    <w:p w14:paraId="14DF7C9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Theme="minorEastAsia" w:hAnsiTheme="minorEastAsia" w:eastAsiaTheme="minorEastAsia" w:cstheme="minorEastAsia"/>
          <w:i w:val="0"/>
          <w:iCs w:val="0"/>
          <w:caps w:val="0"/>
          <w:color w:val="666666"/>
          <w:spacing w:val="0"/>
          <w:sz w:val="24"/>
          <w:szCs w:val="24"/>
        </w:rPr>
      </w:pPr>
      <w:r>
        <w:rPr>
          <w:rFonts w:hint="eastAsia" w:asciiTheme="minorEastAsia" w:hAnsiTheme="minorEastAsia" w:eastAsiaTheme="minorEastAsia" w:cstheme="minorEastAsia"/>
          <w:b/>
          <w:bCs/>
          <w:i w:val="0"/>
          <w:iCs w:val="0"/>
          <w:caps w:val="0"/>
          <w:color w:val="00B0EC"/>
          <w:spacing w:val="0"/>
          <w:sz w:val="24"/>
          <w:szCs w:val="24"/>
          <w:shd w:val="clear" w:fill="FFFFFF"/>
        </w:rPr>
        <w:t>参考标准：</w:t>
      </w:r>
    </w:p>
    <w:p w14:paraId="4BE3E83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Theme="minorEastAsia" w:hAnsiTheme="minorEastAsia" w:eastAsiaTheme="minorEastAsia" w:cstheme="minorEastAsia"/>
          <w:i w:val="0"/>
          <w:iCs w:val="0"/>
          <w:caps w:val="0"/>
          <w:color w:val="666666"/>
          <w:spacing w:val="0"/>
          <w:sz w:val="24"/>
          <w:szCs w:val="24"/>
        </w:rPr>
      </w:pPr>
      <w:r>
        <w:rPr>
          <w:rFonts w:hint="eastAsia" w:asciiTheme="minorEastAsia" w:hAnsiTheme="minorEastAsia" w:eastAsiaTheme="minorEastAsia" w:cstheme="minorEastAsia"/>
          <w:i w:val="0"/>
          <w:iCs w:val="0"/>
          <w:caps w:val="0"/>
          <w:color w:val="3B3838"/>
          <w:spacing w:val="0"/>
          <w:sz w:val="24"/>
          <w:szCs w:val="24"/>
          <w:shd w:val="clear" w:fill="FFFFFF"/>
        </w:rPr>
        <w:t>IEC-61851-1-2017，IEC-61851-22-2002</w:t>
      </w:r>
      <w:r>
        <w:rPr>
          <w:rFonts w:hint="eastAsia" w:asciiTheme="minorEastAsia" w:hAnsiTheme="minorEastAsia" w:eastAsiaTheme="minorEastAsia" w:cstheme="minorEastAsia"/>
          <w:i w:val="0"/>
          <w:iCs w:val="0"/>
          <w:caps w:val="0"/>
          <w:color w:val="3B3838"/>
          <w:spacing w:val="0"/>
          <w:sz w:val="24"/>
          <w:szCs w:val="24"/>
          <w:shd w:val="clear" w:fill="FFFFFF"/>
        </w:rPr>
        <w:t>；</w:t>
      </w:r>
    </w:p>
    <w:p w14:paraId="0750CCD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Theme="minorEastAsia" w:hAnsiTheme="minorEastAsia" w:eastAsiaTheme="minorEastAsia" w:cstheme="minorEastAsia"/>
          <w:i w:val="0"/>
          <w:iCs w:val="0"/>
          <w:caps w:val="0"/>
          <w:color w:val="666666"/>
          <w:spacing w:val="0"/>
          <w:sz w:val="24"/>
          <w:szCs w:val="24"/>
        </w:rPr>
      </w:pPr>
      <w:r>
        <w:rPr>
          <w:rFonts w:hint="eastAsia" w:asciiTheme="minorEastAsia" w:hAnsiTheme="minorEastAsia" w:eastAsiaTheme="minorEastAsia" w:cstheme="minorEastAsia"/>
          <w:b/>
          <w:bCs/>
          <w:i w:val="0"/>
          <w:iCs w:val="0"/>
          <w:caps w:val="0"/>
          <w:color w:val="00B0EC"/>
          <w:spacing w:val="0"/>
          <w:sz w:val="24"/>
          <w:szCs w:val="24"/>
          <w:shd w:val="clear" w:fill="FFFFFF"/>
        </w:rPr>
        <w:t>功能特点：</w:t>
      </w:r>
      <w:bookmarkStart w:id="0" w:name="_GoBack"/>
      <w:bookmarkEnd w:id="0"/>
    </w:p>
    <w:p w14:paraId="740F2E6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Theme="minorEastAsia" w:hAnsiTheme="minorEastAsia" w:eastAsiaTheme="minorEastAsia" w:cstheme="minorEastAsia"/>
          <w:i w:val="0"/>
          <w:iCs w:val="0"/>
          <w:caps w:val="0"/>
          <w:color w:val="666666"/>
          <w:spacing w:val="0"/>
          <w:sz w:val="24"/>
          <w:szCs w:val="24"/>
        </w:rPr>
      </w:pPr>
      <w:r>
        <w:rPr>
          <w:rFonts w:hint="eastAsia" w:asciiTheme="minorEastAsia" w:hAnsiTheme="minorEastAsia" w:eastAsiaTheme="minorEastAsia" w:cstheme="minorEastAsia"/>
          <w:b/>
          <w:bCs/>
          <w:i w:val="0"/>
          <w:iCs w:val="0"/>
          <w:caps w:val="0"/>
          <w:color w:val="00B0EC"/>
          <w:spacing w:val="0"/>
          <w:sz w:val="24"/>
          <w:szCs w:val="24"/>
          <w:shd w:val="clear" w:fill="FFFFFF"/>
        </w:rPr>
        <w:t>通讯方式：</w:t>
      </w:r>
      <w:r>
        <w:rPr>
          <w:rFonts w:hint="eastAsia" w:asciiTheme="minorEastAsia" w:hAnsiTheme="minorEastAsia" w:eastAsiaTheme="minorEastAsia" w:cstheme="minorEastAsia"/>
          <w:i w:val="0"/>
          <w:iCs w:val="0"/>
          <w:caps w:val="0"/>
          <w:color w:val="3B3838"/>
          <w:spacing w:val="0"/>
          <w:sz w:val="24"/>
          <w:szCs w:val="24"/>
          <w:shd w:val="clear" w:fill="FFFFFF"/>
        </w:rPr>
        <w:t>配备 LAN、WiFi、RS-232等多种通讯方式；</w:t>
      </w:r>
    </w:p>
    <w:p w14:paraId="7E536D8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Theme="minorEastAsia" w:hAnsiTheme="minorEastAsia" w:eastAsiaTheme="minorEastAsia" w:cstheme="minorEastAsia"/>
          <w:i w:val="0"/>
          <w:iCs w:val="0"/>
          <w:caps w:val="0"/>
          <w:color w:val="666666"/>
          <w:spacing w:val="0"/>
          <w:sz w:val="24"/>
          <w:szCs w:val="24"/>
        </w:rPr>
      </w:pPr>
      <w:r>
        <w:rPr>
          <w:rFonts w:hint="eastAsia" w:asciiTheme="minorEastAsia" w:hAnsiTheme="minorEastAsia" w:eastAsiaTheme="minorEastAsia" w:cstheme="minorEastAsia"/>
          <w:b/>
          <w:bCs/>
          <w:i w:val="0"/>
          <w:iCs w:val="0"/>
          <w:caps w:val="0"/>
          <w:color w:val="00B0EC"/>
          <w:spacing w:val="0"/>
          <w:sz w:val="24"/>
          <w:szCs w:val="24"/>
          <w:shd w:val="clear" w:fill="FFFFFF"/>
        </w:rPr>
        <w:t>坚固耐用：</w:t>
      </w:r>
      <w:r>
        <w:rPr>
          <w:rFonts w:hint="eastAsia" w:asciiTheme="minorEastAsia" w:hAnsiTheme="minorEastAsia" w:eastAsiaTheme="minorEastAsia" w:cstheme="minorEastAsia"/>
          <w:i w:val="0"/>
          <w:iCs w:val="0"/>
          <w:caps w:val="0"/>
          <w:color w:val="3B3838"/>
          <w:spacing w:val="0"/>
          <w:sz w:val="24"/>
          <w:szCs w:val="24"/>
          <w:shd w:val="clear" w:fill="FFFFFF"/>
        </w:rPr>
        <w:t>箱体为拉杆式防护箱，整体防水、抗压、防震、防腐蚀，经久耐用。闭合状态防水防尘等级为IP67，箱体带拉杆及轮子，方便随时移动，适合户外使用；</w:t>
      </w:r>
    </w:p>
    <w:p w14:paraId="49EA7C2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Theme="minorEastAsia" w:hAnsiTheme="minorEastAsia" w:eastAsiaTheme="minorEastAsia" w:cstheme="minorEastAsia"/>
          <w:i w:val="0"/>
          <w:iCs w:val="0"/>
          <w:caps w:val="0"/>
          <w:color w:val="666666"/>
          <w:spacing w:val="0"/>
          <w:sz w:val="24"/>
          <w:szCs w:val="24"/>
        </w:rPr>
      </w:pPr>
      <w:r>
        <w:rPr>
          <w:rFonts w:hint="eastAsia" w:asciiTheme="minorEastAsia" w:hAnsiTheme="minorEastAsia" w:eastAsiaTheme="minorEastAsia" w:cstheme="minorEastAsia"/>
          <w:b/>
          <w:bCs/>
          <w:i w:val="0"/>
          <w:iCs w:val="0"/>
          <w:caps w:val="0"/>
          <w:color w:val="00B0EC"/>
          <w:spacing w:val="0"/>
          <w:sz w:val="24"/>
          <w:szCs w:val="24"/>
          <w:shd w:val="clear" w:fill="FFFFFF"/>
        </w:rPr>
        <w:t>测试功能：</w:t>
      </w:r>
      <w:r>
        <w:rPr>
          <w:rFonts w:hint="eastAsia" w:asciiTheme="minorEastAsia" w:hAnsiTheme="minorEastAsia" w:eastAsiaTheme="minorEastAsia" w:cstheme="minorEastAsia"/>
          <w:i w:val="0"/>
          <w:iCs w:val="0"/>
          <w:caps w:val="0"/>
          <w:color w:val="3B3838"/>
          <w:spacing w:val="0"/>
          <w:sz w:val="24"/>
          <w:szCs w:val="24"/>
          <w:shd w:val="clear" w:fill="FFFFFF"/>
        </w:rPr>
        <w:t>测试仪可实现PP、CP、PE通断模拟，真实模拟充电过程和各种故障，具备有无S2开关两种车辆状态模拟功能，车辆端R2、R3电阻值可调；</w:t>
      </w:r>
    </w:p>
    <w:p w14:paraId="6B5F8FD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Theme="minorEastAsia" w:hAnsiTheme="minorEastAsia" w:eastAsiaTheme="minorEastAsia" w:cstheme="minorEastAsia"/>
          <w:i w:val="0"/>
          <w:iCs w:val="0"/>
          <w:caps w:val="0"/>
          <w:color w:val="666666"/>
          <w:spacing w:val="0"/>
          <w:sz w:val="24"/>
          <w:szCs w:val="24"/>
        </w:rPr>
      </w:pPr>
      <w:r>
        <w:rPr>
          <w:rFonts w:hint="eastAsia" w:asciiTheme="minorEastAsia" w:hAnsiTheme="minorEastAsia" w:eastAsiaTheme="minorEastAsia" w:cstheme="minorEastAsia"/>
          <w:b/>
          <w:bCs/>
          <w:i w:val="0"/>
          <w:iCs w:val="0"/>
          <w:caps w:val="0"/>
          <w:color w:val="00B0EC"/>
          <w:spacing w:val="0"/>
          <w:sz w:val="24"/>
          <w:szCs w:val="24"/>
          <w:shd w:val="clear" w:fill="FFFFFF"/>
        </w:rPr>
        <w:t>数据采集：</w:t>
      </w:r>
      <w:r>
        <w:rPr>
          <w:rFonts w:hint="eastAsia" w:asciiTheme="minorEastAsia" w:hAnsiTheme="minorEastAsia" w:eastAsiaTheme="minorEastAsia" w:cstheme="minorEastAsia"/>
          <w:i w:val="0"/>
          <w:iCs w:val="0"/>
          <w:caps w:val="0"/>
          <w:color w:val="3B3838"/>
          <w:spacing w:val="0"/>
          <w:sz w:val="24"/>
          <w:szCs w:val="24"/>
          <w:shd w:val="clear" w:fill="FFFFFF"/>
        </w:rPr>
        <w:t>实时电压、电流采集，充电桩参数显示；</w:t>
      </w:r>
      <w:r>
        <w:rPr>
          <w:rFonts w:hint="eastAsia" w:asciiTheme="minorEastAsia" w:hAnsiTheme="minorEastAsia" w:eastAsiaTheme="minorEastAsia" w:cstheme="minorEastAsia"/>
          <w:i w:val="0"/>
          <w:iCs w:val="0"/>
          <w:caps w:val="0"/>
          <w:color w:val="666666"/>
          <w:spacing w:val="0"/>
          <w:sz w:val="24"/>
          <w:szCs w:val="24"/>
          <w:shd w:val="clear" w:fill="FFFFFF"/>
        </w:rPr>
        <w:br w:type="textWrapping"/>
      </w:r>
      <w:r>
        <w:rPr>
          <w:rFonts w:hint="eastAsia" w:asciiTheme="minorEastAsia" w:hAnsiTheme="minorEastAsia" w:eastAsiaTheme="minorEastAsia" w:cstheme="minorEastAsia"/>
          <w:b/>
          <w:bCs/>
          <w:i w:val="0"/>
          <w:iCs w:val="0"/>
          <w:caps w:val="0"/>
          <w:color w:val="00B0EC"/>
          <w:spacing w:val="0"/>
          <w:sz w:val="24"/>
          <w:szCs w:val="24"/>
          <w:shd w:val="clear" w:fill="FFFFFF"/>
        </w:rPr>
        <w:t>选配功能：</w:t>
      </w:r>
      <w:r>
        <w:rPr>
          <w:rFonts w:hint="eastAsia" w:asciiTheme="minorEastAsia" w:hAnsiTheme="minorEastAsia" w:eastAsiaTheme="minorEastAsia" w:cstheme="minorEastAsia"/>
          <w:i w:val="0"/>
          <w:iCs w:val="0"/>
          <w:caps w:val="0"/>
          <w:color w:val="3B3838"/>
          <w:spacing w:val="0"/>
          <w:sz w:val="24"/>
          <w:szCs w:val="24"/>
          <w:shd w:val="clear" w:fill="FFFFFF"/>
        </w:rPr>
        <w:t>内置电池，解决了在现场没有外部供电而无法工作的问题；可配备GPS接收模块、温湿度模块，具有对时功能和精密准确的计时功能等；可配备计量模块，内置精度±0.05%。</w:t>
      </w:r>
    </w:p>
    <w:p w14:paraId="38ED3A8B">
      <w:pPr>
        <w:pStyle w:val="2"/>
        <w:keepNext w:val="0"/>
        <w:keepLines w:val="0"/>
        <w:widowControl/>
        <w:suppressLineNumbers w:val="0"/>
        <w:shd w:val="clear" w:fill="FFFFFF"/>
        <w:spacing w:before="0" w:beforeAutospacing="0" w:after="0" w:afterAutospacing="0"/>
        <w:ind w:left="320" w:right="0" w:firstLine="0"/>
        <w:jc w:val="both"/>
        <w:rPr>
          <w:rFonts w:hint="default" w:ascii="微软雅黑" w:hAnsi="微软雅黑" w:eastAsia="微软雅黑" w:cs="微软雅黑"/>
          <w:i w:val="0"/>
          <w:iCs w:val="0"/>
          <w:caps w:val="0"/>
          <w:color w:val="666666"/>
          <w:spacing w:val="0"/>
          <w:sz w:val="28"/>
          <w:szCs w:val="28"/>
        </w:rPr>
      </w:pPr>
      <w:r>
        <w:rPr>
          <w:rFonts w:hint="default" w:ascii="微软雅黑" w:hAnsi="微软雅黑" w:eastAsia="微软雅黑" w:cs="微软雅黑"/>
          <w:i w:val="0"/>
          <w:iCs w:val="0"/>
          <w:caps w:val="0"/>
          <w:color w:val="666666"/>
          <w:spacing w:val="0"/>
          <w:sz w:val="28"/>
          <w:szCs w:val="28"/>
          <w:shd w:val="clear" w:fill="FFFFFF"/>
        </w:rPr>
        <w:t> </w:t>
      </w:r>
    </w:p>
    <w:tbl>
      <w:tblPr>
        <w:tblW w:w="80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350"/>
        <w:gridCol w:w="1902"/>
        <w:gridCol w:w="3807"/>
      </w:tblGrid>
      <w:tr w14:paraId="25C00608">
        <w:trPr>
          <w:trHeight w:val="214" w:hRule="atLeast"/>
          <w:jc w:val="center"/>
        </w:trPr>
        <w:tc>
          <w:tcPr>
            <w:tcW w:w="2350" w:type="dxa"/>
            <w:tcBorders>
              <w:top w:val="single" w:color="5B9BD5" w:sz="8" w:space="0"/>
              <w:left w:val="single" w:color="5B9BD5" w:sz="8" w:space="0"/>
              <w:bottom w:val="single" w:color="BDD6EE" w:sz="8" w:space="0"/>
              <w:right w:val="single" w:color="BDD6EE" w:sz="8" w:space="0"/>
            </w:tcBorders>
            <w:shd w:val="clear" w:color="auto" w:fill="FFFFFF"/>
            <w:tcMar>
              <w:top w:w="0" w:type="dxa"/>
              <w:left w:w="140" w:type="dxa"/>
              <w:bottom w:w="0" w:type="dxa"/>
              <w:right w:w="140" w:type="dxa"/>
            </w:tcMar>
            <w:vAlign w:val="center"/>
          </w:tcPr>
          <w:p w14:paraId="39483EFB">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5B9BD5"/>
                <w:spacing w:val="0"/>
                <w:sz w:val="24"/>
                <w:szCs w:val="24"/>
              </w:rPr>
              <w:t>品名</w:t>
            </w:r>
          </w:p>
        </w:tc>
        <w:tc>
          <w:tcPr>
            <w:tcW w:w="5709" w:type="dxa"/>
            <w:gridSpan w:val="2"/>
            <w:tcBorders>
              <w:top w:val="single" w:color="auto" w:sz="8" w:space="0"/>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1708336E">
            <w:pPr>
              <w:pStyle w:val="2"/>
              <w:keepNext w:val="0"/>
              <w:keepLines w:val="0"/>
              <w:widowControl/>
              <w:suppressLineNumbers w:val="0"/>
              <w:spacing w:before="0" w:beforeAutospacing="0" w:after="0" w:afterAutospacing="0"/>
              <w:ind w:left="28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5B9BD5"/>
                <w:spacing w:val="0"/>
                <w:sz w:val="24"/>
                <w:szCs w:val="24"/>
              </w:rPr>
              <w:t>Type2 EV Charger Tester</w:t>
            </w:r>
          </w:p>
        </w:tc>
      </w:tr>
      <w:tr w14:paraId="4FD79018">
        <w:trPr>
          <w:trHeight w:val="214" w:hRule="atLeast"/>
          <w:jc w:val="center"/>
        </w:trPr>
        <w:tc>
          <w:tcPr>
            <w:tcW w:w="2350"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640E0625">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型号</w:t>
            </w:r>
          </w:p>
        </w:tc>
        <w:tc>
          <w:tcPr>
            <w:tcW w:w="5709"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41886519">
            <w:pPr>
              <w:pStyle w:val="2"/>
              <w:keepNext w:val="0"/>
              <w:keepLines w:val="0"/>
              <w:widowControl/>
              <w:suppressLineNumbers w:val="0"/>
              <w:spacing w:before="0" w:beforeAutospacing="0" w:after="0" w:afterAutospacing="0"/>
              <w:ind w:left="28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ST-6680EA-AC</w:t>
            </w:r>
          </w:p>
        </w:tc>
      </w:tr>
      <w:tr w14:paraId="262BD022">
        <w:trPr>
          <w:trHeight w:val="214" w:hRule="atLeast"/>
          <w:jc w:val="center"/>
        </w:trPr>
        <w:tc>
          <w:tcPr>
            <w:tcW w:w="2350"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313617F3">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检测对象</w:t>
            </w:r>
          </w:p>
        </w:tc>
        <w:tc>
          <w:tcPr>
            <w:tcW w:w="5709"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00426141">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欧标交流充电桩</w:t>
            </w:r>
          </w:p>
        </w:tc>
      </w:tr>
      <w:tr w14:paraId="31602FDC">
        <w:trPr>
          <w:trHeight w:val="214" w:hRule="atLeast"/>
          <w:jc w:val="center"/>
        </w:trPr>
        <w:tc>
          <w:tcPr>
            <w:tcW w:w="2350"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5DC5C394">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枪座数量</w:t>
            </w:r>
          </w:p>
        </w:tc>
        <w:tc>
          <w:tcPr>
            <w:tcW w:w="5709"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14740286">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1个（AC 415V 32A选配63A）</w:t>
            </w:r>
          </w:p>
        </w:tc>
      </w:tr>
      <w:tr w14:paraId="507C4606">
        <w:trPr>
          <w:trHeight w:val="415" w:hRule="atLeast"/>
          <w:jc w:val="center"/>
        </w:trPr>
        <w:tc>
          <w:tcPr>
            <w:tcW w:w="2350" w:type="dxa"/>
            <w:vMerge w:val="restart"/>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1CC86B25">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采样精度</w:t>
            </w:r>
          </w:p>
        </w:tc>
        <w:tc>
          <w:tcPr>
            <w:tcW w:w="1902" w:type="dxa"/>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278D6A8E">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666666"/>
                <w:spacing w:val="0"/>
                <w:sz w:val="24"/>
                <w:szCs w:val="24"/>
              </w:rPr>
              <w:t>标配</w:t>
            </w:r>
          </w:p>
        </w:tc>
        <w:tc>
          <w:tcPr>
            <w:tcW w:w="3807" w:type="dxa"/>
            <w:tcBorders>
              <w:top w:val="single" w:color="auto" w:sz="8" w:space="0"/>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61DF18D0">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666666"/>
                <w:spacing w:val="0"/>
                <w:sz w:val="24"/>
                <w:szCs w:val="24"/>
              </w:rPr>
              <w:t>±0.5%RD(30V≤U≤400V)</w:t>
            </w:r>
          </w:p>
          <w:p w14:paraId="1CF72A39">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666666"/>
                <w:spacing w:val="0"/>
                <w:sz w:val="24"/>
                <w:szCs w:val="24"/>
              </w:rPr>
              <w:t>±0.5%RD(10A≤I≤100A)</w:t>
            </w:r>
          </w:p>
        </w:tc>
      </w:tr>
      <w:tr w14:paraId="2459F6A0">
        <w:trPr>
          <w:trHeight w:val="616" w:hRule="atLeast"/>
          <w:jc w:val="center"/>
        </w:trPr>
        <w:tc>
          <w:tcPr>
            <w:tcW w:w="2350" w:type="dxa"/>
            <w:vMerge w:val="continue"/>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182B0562">
            <w:pPr>
              <w:jc w:val="left"/>
              <w:rPr>
                <w:rFonts w:hint="eastAsia" w:asciiTheme="minorEastAsia" w:hAnsiTheme="minorEastAsia" w:eastAsiaTheme="minorEastAsia" w:cstheme="minorEastAsia"/>
                <w:b w:val="0"/>
                <w:bCs w:val="0"/>
                <w:i w:val="0"/>
                <w:iCs w:val="0"/>
                <w:caps w:val="0"/>
                <w:color w:val="666666"/>
                <w:spacing w:val="0"/>
                <w:sz w:val="24"/>
                <w:szCs w:val="24"/>
              </w:rPr>
            </w:pPr>
          </w:p>
        </w:tc>
        <w:tc>
          <w:tcPr>
            <w:tcW w:w="1902" w:type="dxa"/>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0FFCCB3F">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666666"/>
                <w:spacing w:val="0"/>
                <w:sz w:val="24"/>
                <w:szCs w:val="24"/>
              </w:rPr>
              <w:t>选配</w:t>
            </w:r>
          </w:p>
        </w:tc>
        <w:tc>
          <w:tcPr>
            <w:tcW w:w="3807" w:type="dxa"/>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2E4C9FC3">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666666"/>
                <w:spacing w:val="0"/>
                <w:sz w:val="24"/>
                <w:szCs w:val="24"/>
              </w:rPr>
              <w:t>±0.05%RD（10V≤U≤1000V）</w:t>
            </w:r>
            <w:r>
              <w:rPr>
                <w:rFonts w:hint="eastAsia" w:asciiTheme="minorEastAsia" w:hAnsiTheme="minorEastAsia" w:eastAsiaTheme="minorEastAsia" w:cstheme="minorEastAsia"/>
                <w:b w:val="0"/>
                <w:bCs w:val="0"/>
                <w:i w:val="0"/>
                <w:iCs w:val="0"/>
                <w:caps w:val="0"/>
                <w:color w:val="666666"/>
                <w:spacing w:val="0"/>
                <w:sz w:val="24"/>
                <w:szCs w:val="24"/>
              </w:rPr>
              <w:br w:type="textWrapping"/>
            </w:r>
            <w:r>
              <w:rPr>
                <w:rFonts w:hint="eastAsia" w:asciiTheme="minorEastAsia" w:hAnsiTheme="minorEastAsia" w:eastAsiaTheme="minorEastAsia" w:cstheme="minorEastAsia"/>
                <w:b w:val="0"/>
                <w:bCs w:val="0"/>
                <w:i w:val="0"/>
                <w:iCs w:val="0"/>
                <w:caps w:val="0"/>
                <w:color w:val="666666"/>
                <w:spacing w:val="0"/>
                <w:sz w:val="24"/>
                <w:szCs w:val="24"/>
              </w:rPr>
              <w:t>±0.05%RD（1A≤I≤250A）</w:t>
            </w:r>
            <w:r>
              <w:rPr>
                <w:rFonts w:hint="eastAsia" w:asciiTheme="minorEastAsia" w:hAnsiTheme="minorEastAsia" w:eastAsiaTheme="minorEastAsia" w:cstheme="minorEastAsia"/>
                <w:b w:val="0"/>
                <w:bCs w:val="0"/>
                <w:i w:val="0"/>
                <w:iCs w:val="0"/>
                <w:caps w:val="0"/>
                <w:color w:val="666666"/>
                <w:spacing w:val="0"/>
                <w:sz w:val="24"/>
                <w:szCs w:val="24"/>
              </w:rPr>
              <w:br w:type="textWrapping"/>
            </w:r>
            <w:r>
              <w:rPr>
                <w:rFonts w:hint="eastAsia" w:asciiTheme="minorEastAsia" w:hAnsiTheme="minorEastAsia" w:eastAsiaTheme="minorEastAsia" w:cstheme="minorEastAsia"/>
                <w:b w:val="0"/>
                <w:bCs w:val="0"/>
                <w:i w:val="0"/>
                <w:iCs w:val="0"/>
                <w:caps w:val="0"/>
                <w:color w:val="666666"/>
                <w:spacing w:val="0"/>
                <w:sz w:val="24"/>
                <w:szCs w:val="24"/>
              </w:rPr>
              <w:t>电能计量0.05级</w:t>
            </w:r>
          </w:p>
        </w:tc>
      </w:tr>
      <w:tr w14:paraId="67F2A62D">
        <w:trPr>
          <w:trHeight w:val="214" w:hRule="atLeast"/>
          <w:jc w:val="center"/>
        </w:trPr>
        <w:tc>
          <w:tcPr>
            <w:tcW w:w="2350"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504A7485">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供电电源</w:t>
            </w:r>
          </w:p>
        </w:tc>
        <w:tc>
          <w:tcPr>
            <w:tcW w:w="5709"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503DAEEB">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100-240V AC,50Hz ; 35w</w:t>
            </w:r>
          </w:p>
        </w:tc>
      </w:tr>
      <w:tr w14:paraId="46792DB1">
        <w:trPr>
          <w:trHeight w:val="214" w:hRule="atLeast"/>
          <w:jc w:val="center"/>
        </w:trPr>
        <w:tc>
          <w:tcPr>
            <w:tcW w:w="2350"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01FD8DB6">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通信接口</w:t>
            </w:r>
          </w:p>
        </w:tc>
        <w:tc>
          <w:tcPr>
            <w:tcW w:w="5709"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288872C4">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支持LAN、RS232、WiFi</w:t>
            </w:r>
          </w:p>
        </w:tc>
      </w:tr>
      <w:tr w14:paraId="1AA2820C">
        <w:trPr>
          <w:trHeight w:val="214" w:hRule="atLeast"/>
          <w:jc w:val="center"/>
        </w:trPr>
        <w:tc>
          <w:tcPr>
            <w:tcW w:w="2350"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707E40D8">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负载功率</w:t>
            </w:r>
          </w:p>
        </w:tc>
        <w:tc>
          <w:tcPr>
            <w:tcW w:w="5709"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09DAB339">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无内置负载（可外接负载设备≤32A）</w:t>
            </w:r>
          </w:p>
        </w:tc>
      </w:tr>
      <w:tr w14:paraId="0E97D36C">
        <w:trPr>
          <w:trHeight w:val="214" w:hRule="atLeast"/>
          <w:jc w:val="center"/>
        </w:trPr>
        <w:tc>
          <w:tcPr>
            <w:tcW w:w="2350"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0F8B9ACD">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是否带上位机软件</w:t>
            </w:r>
          </w:p>
        </w:tc>
        <w:tc>
          <w:tcPr>
            <w:tcW w:w="5709"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20D11DA9">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是</w:t>
            </w:r>
          </w:p>
        </w:tc>
      </w:tr>
      <w:tr w14:paraId="2CCF2825">
        <w:trPr>
          <w:trHeight w:val="214" w:hRule="atLeast"/>
          <w:jc w:val="center"/>
        </w:trPr>
        <w:tc>
          <w:tcPr>
            <w:tcW w:w="2350"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7D7E5F78">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工作温度</w:t>
            </w:r>
          </w:p>
        </w:tc>
        <w:tc>
          <w:tcPr>
            <w:tcW w:w="5709"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066258F4">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-20℃ ~ 50℃</w:t>
            </w:r>
          </w:p>
        </w:tc>
      </w:tr>
      <w:tr w14:paraId="3D312185">
        <w:trPr>
          <w:trHeight w:val="214" w:hRule="atLeast"/>
          <w:jc w:val="center"/>
        </w:trPr>
        <w:tc>
          <w:tcPr>
            <w:tcW w:w="2350"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43B8B3C5">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存储温度</w:t>
            </w:r>
          </w:p>
        </w:tc>
        <w:tc>
          <w:tcPr>
            <w:tcW w:w="5709"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5BFC7C49">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-30℃ ~ 70℃</w:t>
            </w:r>
          </w:p>
        </w:tc>
      </w:tr>
      <w:tr w14:paraId="2EE833D0">
        <w:trPr>
          <w:trHeight w:val="616" w:hRule="atLeast"/>
          <w:jc w:val="center"/>
        </w:trPr>
        <w:tc>
          <w:tcPr>
            <w:tcW w:w="2350"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563DE75C">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相对湿度</w:t>
            </w:r>
          </w:p>
        </w:tc>
        <w:tc>
          <w:tcPr>
            <w:tcW w:w="5709"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4CCB00E4">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≤90% Rh（10℃ 至 30℃）；</w:t>
            </w:r>
          </w:p>
          <w:p w14:paraId="07484C32">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≤75% Rh（30℃ 至 40℃）；</w:t>
            </w:r>
          </w:p>
          <w:p w14:paraId="4437E648">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≤45% Rh（40℃ 至 50℃）；</w:t>
            </w:r>
          </w:p>
        </w:tc>
      </w:tr>
      <w:tr w14:paraId="70BED991">
        <w:trPr>
          <w:trHeight w:val="214" w:hRule="atLeast"/>
          <w:jc w:val="center"/>
        </w:trPr>
        <w:tc>
          <w:tcPr>
            <w:tcW w:w="2350"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54DF474A">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666666"/>
                <w:spacing w:val="0"/>
                <w:sz w:val="24"/>
                <w:szCs w:val="24"/>
              </w:rPr>
              <w:t>面板香蕉插座信号</w:t>
            </w:r>
          </w:p>
        </w:tc>
        <w:tc>
          <w:tcPr>
            <w:tcW w:w="5709"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0D891100">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L1、L2、L3、N、PP、CP</w:t>
            </w:r>
            <w:r>
              <w:rPr>
                <w:rFonts w:hint="eastAsia" w:asciiTheme="minorEastAsia" w:hAnsiTheme="minorEastAsia" w:eastAsiaTheme="minorEastAsia" w:cstheme="minorEastAsia"/>
                <w:b w:val="0"/>
                <w:bCs w:val="0"/>
                <w:i w:val="0"/>
                <w:iCs w:val="0"/>
                <w:caps w:val="0"/>
                <w:color w:val="666666"/>
                <w:spacing w:val="0"/>
                <w:sz w:val="24"/>
                <w:szCs w:val="24"/>
              </w:rPr>
              <w:t>、PE、R2、R3</w:t>
            </w:r>
          </w:p>
        </w:tc>
      </w:tr>
      <w:tr w14:paraId="70B15E4F">
        <w:trPr>
          <w:trHeight w:val="214" w:hRule="atLeast"/>
          <w:jc w:val="center"/>
        </w:trPr>
        <w:tc>
          <w:tcPr>
            <w:tcW w:w="2350"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2013D711">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显示方式</w:t>
            </w:r>
          </w:p>
        </w:tc>
        <w:tc>
          <w:tcPr>
            <w:tcW w:w="5709"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2606EF3D">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10.1寸触摸屏</w:t>
            </w:r>
          </w:p>
        </w:tc>
      </w:tr>
      <w:tr w14:paraId="5417DEFE">
        <w:trPr>
          <w:trHeight w:val="214" w:hRule="atLeast"/>
          <w:jc w:val="center"/>
        </w:trPr>
        <w:tc>
          <w:tcPr>
            <w:tcW w:w="2350"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55347E5C">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产品尺寸</w:t>
            </w:r>
          </w:p>
        </w:tc>
        <w:tc>
          <w:tcPr>
            <w:tcW w:w="5709"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top"/>
          </w:tcPr>
          <w:p w14:paraId="6BC0A2D2">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L561 * W455 * H265 mm；</w:t>
            </w:r>
          </w:p>
        </w:tc>
      </w:tr>
      <w:tr w14:paraId="1257D12D">
        <w:trPr>
          <w:trHeight w:val="239" w:hRule="atLeast"/>
          <w:jc w:val="center"/>
        </w:trPr>
        <w:tc>
          <w:tcPr>
            <w:tcW w:w="2350"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38784156">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000000"/>
                <w:spacing w:val="0"/>
                <w:sz w:val="24"/>
                <w:szCs w:val="24"/>
              </w:rPr>
              <w:t>产品重量</w:t>
            </w:r>
          </w:p>
        </w:tc>
        <w:tc>
          <w:tcPr>
            <w:tcW w:w="5709"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top"/>
          </w:tcPr>
          <w:p w14:paraId="340438FF">
            <w:pPr>
              <w:pStyle w:val="2"/>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aps w:val="0"/>
                <w:color w:val="FF0000"/>
                <w:spacing w:val="0"/>
                <w:sz w:val="24"/>
                <w:szCs w:val="24"/>
              </w:rPr>
              <w:t>≈20kg</w:t>
            </w:r>
          </w:p>
        </w:tc>
      </w:tr>
    </w:tbl>
    <w:p w14:paraId="7B5C3766">
      <w:pPr>
        <w:pStyle w:val="2"/>
        <w:keepNext w:val="0"/>
        <w:keepLines w:val="0"/>
        <w:widowControl/>
        <w:suppressLineNumbers w:val="0"/>
        <w:shd w:val="clear" w:fill="FFFFFF"/>
        <w:spacing w:before="0" w:beforeAutospacing="0" w:after="0" w:afterAutospacing="0"/>
        <w:ind w:left="0" w:right="0" w:firstLine="0"/>
        <w:jc w:val="left"/>
        <w:rPr>
          <w:rFonts w:hint="default" w:ascii="微软雅黑" w:hAnsi="微软雅黑" w:eastAsia="微软雅黑" w:cs="微软雅黑"/>
          <w:i w:val="0"/>
          <w:iCs w:val="0"/>
          <w:caps w:val="0"/>
          <w:color w:val="666666"/>
          <w:spacing w:val="0"/>
          <w:sz w:val="28"/>
          <w:szCs w:val="28"/>
        </w:rPr>
      </w:pPr>
      <w:r>
        <w:rPr>
          <w:rFonts w:hint="default" w:ascii="微软雅黑" w:hAnsi="微软雅黑" w:eastAsia="微软雅黑" w:cs="微软雅黑"/>
          <w:i w:val="0"/>
          <w:iCs w:val="0"/>
          <w:caps w:val="0"/>
          <w:color w:val="666666"/>
          <w:spacing w:val="0"/>
          <w:sz w:val="28"/>
          <w:szCs w:val="28"/>
          <w:shd w:val="clear" w:fill="FFFFFF"/>
        </w:rPr>
        <w:t> </w:t>
      </w:r>
    </w:p>
    <w:p w14:paraId="3238A583">
      <w:pPr>
        <w:keepNext w:val="0"/>
        <w:keepLines w:val="0"/>
        <w:widowControl/>
        <w:suppressLineNumbers w:val="0"/>
        <w:jc w:val="left"/>
      </w:pPr>
    </w:p>
    <w:p w14:paraId="6EB071B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黑体">
    <w:altName w:val="汉仪中黑KW"/>
    <w:panose1 w:val="00000000000000000000"/>
    <w:charset w:val="00"/>
    <w:family w:val="auto"/>
    <w:pitch w:val="default"/>
    <w:sig w:usb0="00000000" w:usb1="00000000" w:usb2="00000000" w:usb3="00000000" w:csb0="00000000" w:csb1="00000000"/>
  </w:font>
  <w:font w:name="思源黑体 CN Light">
    <w:altName w:val="汉仪中黑KW"/>
    <w:panose1 w:val="00000000000000000000"/>
    <w:charset w:val="00"/>
    <w:family w:val="auto"/>
    <w:pitch w:val="default"/>
    <w:sig w:usb0="00000000" w:usb1="00000000" w:usb2="00000000" w:usb3="00000000" w:csb0="00000000" w:csb1="00000000"/>
  </w:font>
  <w:font w:name="Source Han Sans CN">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3A89FF"/>
    <w:rsid w:val="FE3A8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2026-08-18T10:10:00Z</dcterms:created>
  <dc:creator>Gwen</dc:creator>
  <cp:lastModifiedBy>Gwen</cp:lastModifiedBy>
  <dcterms:modified xsi:type="dcterms:W3CDTF">2026-08-18T10:13:58Z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E80098799982937518BF836A75A841A4_41</vt:lpwstr>
  </property>
</Properties>
</file>