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B6499">
      <w:pPr>
        <w:keepNext w:val="0"/>
        <w:keepLines w:val="0"/>
        <w:widowControl/>
        <w:suppressLineNumbers w:val="0"/>
        <w:spacing w:after="120" w:afterAutospacing="0" w:line="360" w:lineRule="auto"/>
        <w:jc w:val="both"/>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pP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t>特点：</w:t>
      </w:r>
    </w:p>
    <w:p w14:paraId="00F58650">
      <w:pPr>
        <w:keepNext w:val="0"/>
        <w:keepLines w:val="0"/>
        <w:widowControl/>
        <w:suppressLineNumbers w:val="0"/>
        <w:spacing w:after="120" w:afterAutospacing="0" w:line="360" w:lineRule="auto"/>
        <w:ind w:left="0" w:leftChars="0" w:firstLine="420" w:firstLineChars="200"/>
        <w:jc w:val="both"/>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pP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t>· GB/EA/UA/CA接口</w:t>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t>· 远程无线操作· 自动生成报告· 专业售后维修</w:t>
      </w:r>
    </w:p>
    <w:p w14:paraId="598EAFD2">
      <w:pPr>
        <w:keepNext w:val="0"/>
        <w:keepLines w:val="0"/>
        <w:widowControl/>
        <w:suppressLineNumbers w:val="0"/>
        <w:spacing w:after="120" w:afterAutospacing="0" w:line="360" w:lineRule="auto"/>
        <w:ind w:left="0" w:leftChars="0" w:firstLine="420" w:firstLineChars="200"/>
        <w:jc w:val="both"/>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pP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t>· 协议一致性/互操作性· 选配录波模块</w:t>
      </w:r>
    </w:p>
    <w:p w14:paraId="7C8278F7">
      <w:pPr>
        <w:keepNext w:val="0"/>
        <w:keepLines w:val="0"/>
        <w:widowControl/>
        <w:suppressLineNumbers w:val="0"/>
        <w:spacing w:after="120" w:afterAutospacing="0" w:line="360" w:lineRule="auto"/>
        <w:ind w:left="0" w:leftChars="0" w:firstLine="420" w:firstLineChars="200"/>
        <w:jc w:val="both"/>
        <w:rPr>
          <w:rFonts w:hint="eastAsia" w:asciiTheme="minorEastAsia" w:hAnsiTheme="minorEastAsia" w:eastAsiaTheme="minorEastAsia" w:cstheme="minorEastAsia"/>
          <w:i w:val="0"/>
          <w:strike w:val="0"/>
          <w:color w:val="auto"/>
          <w:sz w:val="21"/>
          <w:szCs w:val="21"/>
          <w:u w:val="none"/>
        </w:rPr>
      </w:pP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t>关键词:</w:t>
      </w:r>
      <w:r>
        <w:rPr>
          <w:rFonts w:hint="eastAsia" w:asciiTheme="minorEastAsia" w:hAnsiTheme="minorEastAsia" w:eastAsiaTheme="minorEastAsia" w:cstheme="minorEastAsia"/>
          <w:i w:val="0"/>
          <w:iCs w:val="0"/>
          <w:caps w:val="0"/>
          <w:strike w:val="0"/>
          <w:color w:val="auto"/>
          <w:spacing w:val="0"/>
          <w:sz w:val="21"/>
          <w:szCs w:val="21"/>
          <w:u w:val="none"/>
        </w:rPr>
        <w:t>欧标交流充电桩(机)综合测试仪ST-9980EA-AC</w:t>
      </w:r>
    </w:p>
    <w:p w14:paraId="60F0A3A8">
      <w:pPr>
        <w:keepNext w:val="0"/>
        <w:keepLines w:val="0"/>
        <w:widowControl/>
        <w:suppressLineNumbers w:val="0"/>
        <w:spacing w:after="120" w:afterAutospacing="0" w:line="360" w:lineRule="auto"/>
        <w:ind w:left="0" w:leftChars="0" w:firstLine="630" w:firstLineChars="300"/>
        <w:jc w:val="both"/>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pP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t>所属分类:</w:t>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fldChar w:fldCharType="begin"/>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instrText xml:space="preserve"> HYPERLINK "https://www.saiter.cn/products/12.html" \t "/Users/gwen/Documents\\x/_self" </w:instrText>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fldChar w:fldCharType="separate"/>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t>充电桩测试</w:t>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fldChar w:fldCharType="end"/>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t>；</w:t>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fldChar w:fldCharType="begin"/>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instrText xml:space="preserve"> HYPERLINK "https://www.saiter.cn/products/4.html" \t "/Users/gwen/Documents\\x/_self" </w:instrText>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fldChar w:fldCharType="separate"/>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t>运维现场测试</w:t>
      </w:r>
      <w:r>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fldChar w:fldCharType="end"/>
      </w:r>
    </w:p>
    <w:p w14:paraId="2429706E">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i w:val="0"/>
          <w:iCs w:val="0"/>
          <w:caps w:val="0"/>
          <w:color w:val="666666"/>
          <w:spacing w:val="0"/>
          <w:sz w:val="21"/>
          <w:szCs w:val="21"/>
        </w:rPr>
      </w:pPr>
      <w:bookmarkStart w:id="0" w:name="_GoBack"/>
      <w:bookmarkEnd w:id="0"/>
      <w:r>
        <w:rPr>
          <w:rStyle w:val="5"/>
          <w:rFonts w:hint="eastAsia" w:asciiTheme="minorEastAsia" w:hAnsiTheme="minorEastAsia" w:eastAsiaTheme="minorEastAsia" w:cstheme="minorEastAsia"/>
          <w:b/>
          <w:bCs/>
          <w:i w:val="0"/>
          <w:iCs w:val="0"/>
          <w:caps w:val="0"/>
          <w:color w:val="666666"/>
          <w:spacing w:val="0"/>
          <w:sz w:val="21"/>
          <w:szCs w:val="21"/>
          <w:shd w:val="clear" w:fill="FFFFFF"/>
        </w:rPr>
        <w:t> Saiter便携式直流充电桩测试仪ST-6680EA-DC，</w:t>
      </w:r>
      <w:r>
        <w:rPr>
          <w:rFonts w:hint="eastAsia" w:asciiTheme="minorEastAsia" w:hAnsiTheme="minorEastAsia" w:eastAsiaTheme="minorEastAsia" w:cstheme="minorEastAsia"/>
          <w:i w:val="0"/>
          <w:iCs w:val="0"/>
          <w:caps w:val="0"/>
          <w:color w:val="666666"/>
          <w:spacing w:val="0"/>
          <w:sz w:val="21"/>
          <w:szCs w:val="21"/>
          <w:shd w:val="clear" w:fill="FFFFFF"/>
        </w:rPr>
        <w:t>是一款专门用于欧标电动汽车直流充电桩检测装置主要应用于电动汽车非车载传导式充电机产品现场测试及产品验收功能验证，适用于直流充电桩生产厂家研发、第三方检测机构现场验收,巡检，及直流充电桩购买方、检测单位等进行现场验收测试: 其具备的实用功能避免了采用电动汽车实车作为检测装置带来的测试使用不方便、测试内容不全面等问题，同时可避免充电桩故障而导致测试车辆损坏。</w:t>
      </w:r>
    </w:p>
    <w:p w14:paraId="46A1FE60">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Theme="minorEastAsia" w:hAnsiTheme="minorEastAsia" w:eastAsiaTheme="minorEastAsia" w:cstheme="minorEastAsia"/>
          <w:i w:val="0"/>
          <w:iCs w:val="0"/>
          <w:caps w:val="0"/>
          <w:color w:val="666666"/>
          <w:spacing w:val="0"/>
          <w:sz w:val="21"/>
          <w:szCs w:val="21"/>
        </w:rPr>
      </w:pPr>
      <w:r>
        <w:rPr>
          <w:rFonts w:hint="eastAsia" w:asciiTheme="minorEastAsia" w:hAnsiTheme="minorEastAsia" w:eastAsiaTheme="minorEastAsia" w:cstheme="minorEastAsia"/>
          <w:b/>
          <w:bCs/>
          <w:i w:val="0"/>
          <w:iCs w:val="0"/>
          <w:caps w:val="0"/>
          <w:color w:val="00B0EC"/>
          <w:spacing w:val="0"/>
          <w:sz w:val="21"/>
          <w:szCs w:val="21"/>
          <w:shd w:val="clear" w:fill="FFFFFF"/>
        </w:rPr>
        <w:t> 参考标准：</w:t>
      </w:r>
    </w:p>
    <w:p w14:paraId="2D22968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Theme="minorEastAsia" w:hAnsiTheme="minorEastAsia" w:eastAsiaTheme="minorEastAsia" w:cstheme="minorEastAsia"/>
          <w:i w:val="0"/>
          <w:iCs w:val="0"/>
          <w:caps w:val="0"/>
          <w:color w:val="666666"/>
          <w:spacing w:val="0"/>
          <w:sz w:val="21"/>
          <w:szCs w:val="21"/>
        </w:rPr>
      </w:pPr>
      <w:r>
        <w:rPr>
          <w:rFonts w:hint="eastAsia" w:asciiTheme="minorEastAsia" w:hAnsiTheme="minorEastAsia" w:eastAsiaTheme="minorEastAsia" w:cstheme="minorEastAsia"/>
          <w:i w:val="0"/>
          <w:iCs w:val="0"/>
          <w:caps w:val="0"/>
          <w:color w:val="3B3838"/>
          <w:spacing w:val="0"/>
          <w:sz w:val="21"/>
          <w:szCs w:val="21"/>
          <w:shd w:val="clear" w:fill="FFFFFF"/>
        </w:rPr>
        <w:t>IEC-61851-1-2017、DIN SPEC 70121-2012、ISO 15118-2 2019、IEC-61851-23-2014。</w:t>
      </w:r>
    </w:p>
    <w:p w14:paraId="1F1F4FCB">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Theme="minorEastAsia" w:hAnsiTheme="minorEastAsia" w:eastAsiaTheme="minorEastAsia" w:cstheme="minorEastAsia"/>
          <w:i w:val="0"/>
          <w:iCs w:val="0"/>
          <w:caps w:val="0"/>
          <w:color w:val="666666"/>
          <w:spacing w:val="0"/>
          <w:sz w:val="21"/>
          <w:szCs w:val="21"/>
        </w:rPr>
      </w:pPr>
      <w:r>
        <w:rPr>
          <w:rFonts w:hint="eastAsia" w:asciiTheme="minorEastAsia" w:hAnsiTheme="minorEastAsia" w:eastAsiaTheme="minorEastAsia" w:cstheme="minorEastAsia"/>
          <w:b/>
          <w:bCs/>
          <w:i w:val="0"/>
          <w:iCs w:val="0"/>
          <w:caps w:val="0"/>
          <w:color w:val="00B0EC"/>
          <w:spacing w:val="0"/>
          <w:sz w:val="21"/>
          <w:szCs w:val="21"/>
          <w:shd w:val="clear" w:fill="FFFFFF"/>
        </w:rPr>
        <w:t>功能特点：</w:t>
      </w:r>
    </w:p>
    <w:p w14:paraId="5B68DC6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Theme="minorEastAsia" w:hAnsiTheme="minorEastAsia" w:eastAsiaTheme="minorEastAsia" w:cstheme="minorEastAsia"/>
          <w:i w:val="0"/>
          <w:iCs w:val="0"/>
          <w:caps w:val="0"/>
          <w:color w:val="666666"/>
          <w:spacing w:val="0"/>
          <w:sz w:val="21"/>
          <w:szCs w:val="21"/>
        </w:rPr>
      </w:pPr>
      <w:r>
        <w:rPr>
          <w:rFonts w:hint="eastAsia" w:asciiTheme="minorEastAsia" w:hAnsiTheme="minorEastAsia" w:eastAsiaTheme="minorEastAsia" w:cstheme="minorEastAsia"/>
          <w:b/>
          <w:bCs/>
          <w:i w:val="0"/>
          <w:iCs w:val="0"/>
          <w:caps w:val="0"/>
          <w:color w:val="00B0EC"/>
          <w:spacing w:val="0"/>
          <w:sz w:val="21"/>
          <w:szCs w:val="21"/>
          <w:shd w:val="clear" w:fill="FFFFFF"/>
        </w:rPr>
        <w:t>配备接口：</w:t>
      </w:r>
      <w:r>
        <w:rPr>
          <w:rFonts w:hint="eastAsia" w:asciiTheme="minorEastAsia" w:hAnsiTheme="minorEastAsia" w:eastAsiaTheme="minorEastAsia" w:cstheme="minorEastAsia"/>
          <w:i w:val="0"/>
          <w:iCs w:val="0"/>
          <w:caps w:val="0"/>
          <w:color w:val="3B3838"/>
          <w:spacing w:val="0"/>
          <w:sz w:val="21"/>
          <w:szCs w:val="21"/>
          <w:shd w:val="clear" w:fill="FFFFFF"/>
        </w:rPr>
        <w:t>配备CCS2（DC1000V 300A）标准的直流电动汽车传导充电车辆插座，插座定义满足IEC 62196-3标准要求；预备大功率输出负载接口，方便连接电阻负载，电子负载或回馈负载等；</w:t>
      </w:r>
    </w:p>
    <w:p w14:paraId="5971E26D">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Theme="minorEastAsia" w:hAnsiTheme="minorEastAsia" w:eastAsiaTheme="minorEastAsia" w:cstheme="minorEastAsia"/>
          <w:i w:val="0"/>
          <w:iCs w:val="0"/>
          <w:caps w:val="0"/>
          <w:color w:val="666666"/>
          <w:spacing w:val="0"/>
          <w:sz w:val="21"/>
          <w:szCs w:val="21"/>
        </w:rPr>
      </w:pPr>
      <w:r>
        <w:rPr>
          <w:rFonts w:hint="eastAsia" w:asciiTheme="minorEastAsia" w:hAnsiTheme="minorEastAsia" w:eastAsiaTheme="minorEastAsia" w:cstheme="minorEastAsia"/>
          <w:b/>
          <w:bCs/>
          <w:i w:val="0"/>
          <w:iCs w:val="0"/>
          <w:caps w:val="0"/>
          <w:color w:val="00B0EC"/>
          <w:spacing w:val="0"/>
          <w:sz w:val="21"/>
          <w:szCs w:val="21"/>
          <w:shd w:val="clear" w:fill="FFFFFF"/>
        </w:rPr>
        <w:t>负载连接：</w:t>
      </w:r>
      <w:r>
        <w:rPr>
          <w:rFonts w:hint="eastAsia" w:asciiTheme="minorEastAsia" w:hAnsiTheme="minorEastAsia" w:eastAsiaTheme="minorEastAsia" w:cstheme="minorEastAsia"/>
          <w:i w:val="0"/>
          <w:iCs w:val="0"/>
          <w:caps w:val="0"/>
          <w:color w:val="3B3838"/>
          <w:spacing w:val="0"/>
          <w:sz w:val="21"/>
          <w:szCs w:val="21"/>
          <w:shd w:val="clear" w:fill="FFFFFF"/>
        </w:rPr>
        <w:t>配备大功率输出负载枪座(≤300A)；</w:t>
      </w:r>
    </w:p>
    <w:p w14:paraId="59F69F87">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Theme="minorEastAsia" w:hAnsiTheme="minorEastAsia" w:eastAsiaTheme="minorEastAsia" w:cstheme="minorEastAsia"/>
          <w:i w:val="0"/>
          <w:iCs w:val="0"/>
          <w:caps w:val="0"/>
          <w:color w:val="666666"/>
          <w:spacing w:val="0"/>
          <w:sz w:val="21"/>
          <w:szCs w:val="21"/>
        </w:rPr>
      </w:pPr>
      <w:r>
        <w:rPr>
          <w:rFonts w:hint="eastAsia" w:asciiTheme="minorEastAsia" w:hAnsiTheme="minorEastAsia" w:eastAsiaTheme="minorEastAsia" w:cstheme="minorEastAsia"/>
          <w:b/>
          <w:bCs/>
          <w:i w:val="0"/>
          <w:iCs w:val="0"/>
          <w:caps w:val="0"/>
          <w:color w:val="00B0EC"/>
          <w:spacing w:val="0"/>
          <w:sz w:val="21"/>
          <w:szCs w:val="21"/>
          <w:shd w:val="clear" w:fill="FFFFFF"/>
        </w:rPr>
        <w:t>坚固耐用：</w:t>
      </w:r>
      <w:r>
        <w:rPr>
          <w:rFonts w:hint="eastAsia" w:asciiTheme="minorEastAsia" w:hAnsiTheme="minorEastAsia" w:eastAsiaTheme="minorEastAsia" w:cstheme="minorEastAsia"/>
          <w:i w:val="0"/>
          <w:iCs w:val="0"/>
          <w:caps w:val="0"/>
          <w:color w:val="3B3838"/>
          <w:spacing w:val="0"/>
          <w:sz w:val="21"/>
          <w:szCs w:val="21"/>
          <w:shd w:val="clear" w:fill="FFFFFF"/>
        </w:rPr>
        <w:t>移动拉杆式防护箱，整体防水、抗压、防震、防腐蚀。闭合状态防水防尘等级为IP67，适合户外使用；</w:t>
      </w:r>
    </w:p>
    <w:p w14:paraId="5F37074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Theme="minorEastAsia" w:hAnsiTheme="minorEastAsia" w:eastAsiaTheme="minorEastAsia" w:cstheme="minorEastAsia"/>
          <w:i w:val="0"/>
          <w:iCs w:val="0"/>
          <w:caps w:val="0"/>
          <w:color w:val="666666"/>
          <w:spacing w:val="0"/>
          <w:sz w:val="21"/>
          <w:szCs w:val="21"/>
        </w:rPr>
      </w:pPr>
      <w:r>
        <w:rPr>
          <w:rFonts w:hint="eastAsia" w:asciiTheme="minorEastAsia" w:hAnsiTheme="minorEastAsia" w:eastAsiaTheme="minorEastAsia" w:cstheme="minorEastAsia"/>
          <w:b/>
          <w:bCs/>
          <w:i w:val="0"/>
          <w:iCs w:val="0"/>
          <w:caps w:val="0"/>
          <w:color w:val="00B0EC"/>
          <w:spacing w:val="0"/>
          <w:sz w:val="21"/>
          <w:szCs w:val="21"/>
          <w:shd w:val="clear" w:fill="FFFFFF"/>
        </w:rPr>
        <w:t>测试内容：</w:t>
      </w:r>
      <w:r>
        <w:rPr>
          <w:rFonts w:hint="eastAsia" w:asciiTheme="minorEastAsia" w:hAnsiTheme="minorEastAsia" w:eastAsiaTheme="minorEastAsia" w:cstheme="minorEastAsia"/>
          <w:i w:val="0"/>
          <w:iCs w:val="0"/>
          <w:caps w:val="0"/>
          <w:color w:val="3B3838"/>
          <w:spacing w:val="0"/>
          <w:sz w:val="21"/>
          <w:szCs w:val="21"/>
          <w:shd w:val="clear" w:fill="FFFFFF"/>
        </w:rPr>
        <w:t>累积多项测试用例（TEST CASE）；</w:t>
      </w:r>
    </w:p>
    <w:p w14:paraId="7C27D9F8">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Theme="minorEastAsia" w:hAnsiTheme="minorEastAsia" w:eastAsiaTheme="minorEastAsia" w:cstheme="minorEastAsia"/>
          <w:i w:val="0"/>
          <w:iCs w:val="0"/>
          <w:caps w:val="0"/>
          <w:color w:val="666666"/>
          <w:spacing w:val="0"/>
          <w:sz w:val="21"/>
          <w:szCs w:val="21"/>
        </w:rPr>
      </w:pPr>
      <w:r>
        <w:rPr>
          <w:rFonts w:hint="eastAsia" w:asciiTheme="minorEastAsia" w:hAnsiTheme="minorEastAsia" w:eastAsiaTheme="minorEastAsia" w:cstheme="minorEastAsia"/>
          <w:b/>
          <w:bCs/>
          <w:i w:val="0"/>
          <w:iCs w:val="0"/>
          <w:caps w:val="0"/>
          <w:color w:val="00B0EC"/>
          <w:spacing w:val="0"/>
          <w:sz w:val="21"/>
          <w:szCs w:val="21"/>
          <w:shd w:val="clear" w:fill="FFFFFF"/>
        </w:rPr>
        <w:t>通讯方式：</w:t>
      </w:r>
      <w:r>
        <w:rPr>
          <w:rFonts w:hint="eastAsia" w:asciiTheme="minorEastAsia" w:hAnsiTheme="minorEastAsia" w:eastAsiaTheme="minorEastAsia" w:cstheme="minorEastAsia"/>
          <w:i w:val="0"/>
          <w:iCs w:val="0"/>
          <w:caps w:val="0"/>
          <w:color w:val="3B3838"/>
          <w:spacing w:val="0"/>
          <w:sz w:val="21"/>
          <w:szCs w:val="21"/>
          <w:shd w:val="clear" w:fill="FFFFFF"/>
        </w:rPr>
        <w:t>配备 LAN、RS232、WiFi等多种通讯方式；</w:t>
      </w:r>
    </w:p>
    <w:p w14:paraId="7FD14E12">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Theme="minorEastAsia" w:hAnsiTheme="minorEastAsia" w:eastAsiaTheme="minorEastAsia" w:cstheme="minorEastAsia"/>
          <w:i w:val="0"/>
          <w:iCs w:val="0"/>
          <w:caps w:val="0"/>
          <w:color w:val="666666"/>
          <w:spacing w:val="0"/>
          <w:sz w:val="21"/>
          <w:szCs w:val="21"/>
        </w:rPr>
      </w:pPr>
      <w:r>
        <w:rPr>
          <w:rFonts w:hint="eastAsia" w:asciiTheme="minorEastAsia" w:hAnsiTheme="minorEastAsia" w:eastAsiaTheme="minorEastAsia" w:cstheme="minorEastAsia"/>
          <w:b/>
          <w:bCs/>
          <w:i w:val="0"/>
          <w:iCs w:val="0"/>
          <w:caps w:val="0"/>
          <w:color w:val="00B0EC"/>
          <w:spacing w:val="0"/>
          <w:sz w:val="21"/>
          <w:szCs w:val="21"/>
          <w:shd w:val="clear" w:fill="FFFFFF"/>
        </w:rPr>
        <w:t>数据采集：</w:t>
      </w:r>
      <w:r>
        <w:rPr>
          <w:rFonts w:hint="eastAsia" w:asciiTheme="minorEastAsia" w:hAnsiTheme="minorEastAsia" w:eastAsiaTheme="minorEastAsia" w:cstheme="minorEastAsia"/>
          <w:i w:val="0"/>
          <w:iCs w:val="0"/>
          <w:caps w:val="0"/>
          <w:color w:val="3B3838"/>
          <w:spacing w:val="0"/>
          <w:sz w:val="21"/>
          <w:szCs w:val="21"/>
          <w:shd w:val="clear" w:fill="FFFFFF"/>
        </w:rPr>
        <w:t>实时电压、电流采集，充电桩参数显示；</w:t>
      </w:r>
    </w:p>
    <w:p w14:paraId="10163546">
      <w:pPr>
        <w:pStyle w:val="2"/>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360" w:lineRule="auto"/>
        <w:ind w:left="0" w:right="0" w:firstLine="0"/>
        <w:jc w:val="both"/>
        <w:textAlignment w:val="auto"/>
        <w:rPr>
          <w:rFonts w:hint="eastAsia" w:asciiTheme="minorEastAsia" w:hAnsiTheme="minorEastAsia" w:eastAsiaTheme="minorEastAsia" w:cstheme="minorEastAsia"/>
          <w:i w:val="0"/>
          <w:iCs w:val="0"/>
          <w:caps w:val="0"/>
          <w:color w:val="666666"/>
          <w:spacing w:val="0"/>
          <w:sz w:val="21"/>
          <w:szCs w:val="21"/>
        </w:rPr>
      </w:pPr>
      <w:r>
        <w:rPr>
          <w:rFonts w:hint="eastAsia" w:asciiTheme="minorEastAsia" w:hAnsiTheme="minorEastAsia" w:eastAsiaTheme="minorEastAsia" w:cstheme="minorEastAsia"/>
          <w:i w:val="0"/>
          <w:iCs w:val="0"/>
          <w:caps w:val="0"/>
          <w:color w:val="666666"/>
          <w:spacing w:val="0"/>
          <w:sz w:val="21"/>
          <w:szCs w:val="21"/>
          <w:shd w:val="clear" w:fill="FFFFFF"/>
        </w:rPr>
        <w:t> </w:t>
      </w:r>
    </w:p>
    <w:tbl>
      <w:tblPr>
        <w:tblW w:w="84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2851"/>
        <w:gridCol w:w="2721"/>
        <w:gridCol w:w="2887"/>
      </w:tblGrid>
      <w:tr w14:paraId="2E0B8F3C">
        <w:trPr>
          <w:trHeight w:val="563" w:hRule="atLeast"/>
          <w:jc w:val="center"/>
        </w:trPr>
        <w:tc>
          <w:tcPr>
            <w:tcW w:w="2851" w:type="dxa"/>
            <w:tcBorders>
              <w:top w:val="single" w:color="5B9BD5" w:sz="8" w:space="0"/>
              <w:left w:val="single" w:color="5B9BD5" w:sz="8" w:space="0"/>
              <w:bottom w:val="single" w:color="BDD6EE" w:sz="8" w:space="0"/>
              <w:right w:val="single" w:color="BDD6EE" w:sz="8" w:space="0"/>
            </w:tcBorders>
            <w:shd w:val="clear" w:color="auto" w:fill="FFFFFF"/>
            <w:tcMar>
              <w:top w:w="0" w:type="dxa"/>
              <w:left w:w="140" w:type="dxa"/>
              <w:bottom w:w="0" w:type="dxa"/>
              <w:right w:w="140" w:type="dxa"/>
            </w:tcMar>
            <w:vAlign w:val="center"/>
          </w:tcPr>
          <w:p w14:paraId="1F444497">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i w:val="0"/>
                <w:iCs w:val="0"/>
                <w:caps w:val="0"/>
                <w:color w:val="5B9BD5"/>
                <w:spacing w:val="0"/>
                <w:sz w:val="21"/>
                <w:szCs w:val="21"/>
              </w:rPr>
              <w:t>品名</w:t>
            </w:r>
          </w:p>
        </w:tc>
        <w:tc>
          <w:tcPr>
            <w:tcW w:w="5608" w:type="dxa"/>
            <w:gridSpan w:val="2"/>
            <w:tcBorders>
              <w:top w:val="single" w:color="auto" w:sz="8" w:space="0"/>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690F55D1">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i w:val="0"/>
                <w:iCs w:val="0"/>
                <w:caps w:val="0"/>
                <w:color w:val="5B9BD5"/>
                <w:spacing w:val="0"/>
                <w:sz w:val="21"/>
                <w:szCs w:val="21"/>
              </w:rPr>
              <w:t>CCS2 EV Charger Tester</w:t>
            </w:r>
          </w:p>
        </w:tc>
      </w:tr>
      <w:tr w14:paraId="3A7DC218">
        <w:trPr>
          <w:trHeight w:val="563" w:hRule="atLeast"/>
          <w:jc w:val="center"/>
        </w:trPr>
        <w:tc>
          <w:tcPr>
            <w:tcW w:w="2851"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42A379B8">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型号</w:t>
            </w:r>
          </w:p>
        </w:tc>
        <w:tc>
          <w:tcPr>
            <w:tcW w:w="5608"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5DEDF7DF">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ST-6680EA-DC</w:t>
            </w:r>
          </w:p>
        </w:tc>
      </w:tr>
      <w:tr w14:paraId="77E79A0B">
        <w:trPr>
          <w:trHeight w:val="563" w:hRule="atLeast"/>
          <w:jc w:val="center"/>
        </w:trPr>
        <w:tc>
          <w:tcPr>
            <w:tcW w:w="2851"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11321C9B">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枪座数量</w:t>
            </w:r>
          </w:p>
        </w:tc>
        <w:tc>
          <w:tcPr>
            <w:tcW w:w="5608"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653800C6">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CCS2：DC 1000V 300A；</w:t>
            </w:r>
          </w:p>
        </w:tc>
      </w:tr>
      <w:tr w14:paraId="502482E8">
        <w:trPr>
          <w:trHeight w:val="556" w:hRule="atLeast"/>
          <w:jc w:val="center"/>
        </w:trPr>
        <w:tc>
          <w:tcPr>
            <w:tcW w:w="2851" w:type="dxa"/>
            <w:vMerge w:val="restart"/>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4E5BAD1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采样精度</w:t>
            </w:r>
          </w:p>
        </w:tc>
        <w:tc>
          <w:tcPr>
            <w:tcW w:w="2721" w:type="dxa"/>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471BC370">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666666"/>
                <w:spacing w:val="0"/>
                <w:sz w:val="21"/>
                <w:szCs w:val="21"/>
              </w:rPr>
              <w:t>标配</w:t>
            </w:r>
          </w:p>
        </w:tc>
        <w:tc>
          <w:tcPr>
            <w:tcW w:w="2887" w:type="dxa"/>
            <w:tcBorders>
              <w:top w:val="single" w:color="auto" w:sz="8" w:space="0"/>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686EDDC1">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666666"/>
                <w:spacing w:val="0"/>
                <w:sz w:val="21"/>
                <w:szCs w:val="21"/>
              </w:rPr>
              <w:t>±0.5%FS（200V≤U≤1000V）</w:t>
            </w:r>
            <w:r>
              <w:rPr>
                <w:rFonts w:hint="eastAsia" w:asciiTheme="minorEastAsia" w:hAnsiTheme="minorEastAsia" w:eastAsiaTheme="minorEastAsia" w:cstheme="minorEastAsia"/>
                <w:i w:val="0"/>
                <w:iCs w:val="0"/>
                <w:caps w:val="0"/>
                <w:color w:val="666666"/>
                <w:spacing w:val="0"/>
                <w:sz w:val="21"/>
                <w:szCs w:val="21"/>
              </w:rPr>
              <w:br w:type="textWrapping"/>
            </w:r>
            <w:r>
              <w:rPr>
                <w:rFonts w:hint="eastAsia" w:asciiTheme="minorEastAsia" w:hAnsiTheme="minorEastAsia" w:eastAsiaTheme="minorEastAsia" w:cstheme="minorEastAsia"/>
                <w:i w:val="0"/>
                <w:iCs w:val="0"/>
                <w:caps w:val="0"/>
                <w:color w:val="666666"/>
                <w:spacing w:val="0"/>
                <w:sz w:val="21"/>
                <w:szCs w:val="21"/>
              </w:rPr>
              <w:t>±0.5%FS（10A≤I≤300A）</w:t>
            </w:r>
          </w:p>
        </w:tc>
      </w:tr>
      <w:tr w14:paraId="29947136">
        <w:trPr>
          <w:trHeight w:val="826" w:hRule="atLeast"/>
          <w:jc w:val="center"/>
        </w:trPr>
        <w:tc>
          <w:tcPr>
            <w:tcW w:w="2851" w:type="dxa"/>
            <w:vMerge w:val="continue"/>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5D1F920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i w:val="0"/>
                <w:iCs w:val="0"/>
                <w:caps w:val="0"/>
                <w:color w:val="666666"/>
                <w:spacing w:val="0"/>
                <w:sz w:val="21"/>
                <w:szCs w:val="21"/>
              </w:rPr>
            </w:pPr>
          </w:p>
        </w:tc>
        <w:tc>
          <w:tcPr>
            <w:tcW w:w="2721" w:type="dxa"/>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14C707E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666666"/>
                <w:spacing w:val="0"/>
                <w:sz w:val="21"/>
                <w:szCs w:val="21"/>
              </w:rPr>
              <w:t>选配</w:t>
            </w:r>
          </w:p>
        </w:tc>
        <w:tc>
          <w:tcPr>
            <w:tcW w:w="2887" w:type="dxa"/>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22051E3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666666"/>
                <w:spacing w:val="0"/>
                <w:sz w:val="21"/>
                <w:szCs w:val="21"/>
              </w:rPr>
              <w:t>±0.05%RD（200V≤U≤1000V）</w:t>
            </w:r>
            <w:r>
              <w:rPr>
                <w:rFonts w:hint="eastAsia" w:asciiTheme="minorEastAsia" w:hAnsiTheme="minorEastAsia" w:eastAsiaTheme="minorEastAsia" w:cstheme="minorEastAsia"/>
                <w:i w:val="0"/>
                <w:iCs w:val="0"/>
                <w:caps w:val="0"/>
                <w:color w:val="666666"/>
                <w:spacing w:val="0"/>
                <w:sz w:val="21"/>
                <w:szCs w:val="21"/>
              </w:rPr>
              <w:br w:type="textWrapping"/>
            </w:r>
            <w:r>
              <w:rPr>
                <w:rFonts w:hint="eastAsia" w:asciiTheme="minorEastAsia" w:hAnsiTheme="minorEastAsia" w:eastAsiaTheme="minorEastAsia" w:cstheme="minorEastAsia"/>
                <w:i w:val="0"/>
                <w:iCs w:val="0"/>
                <w:caps w:val="0"/>
                <w:color w:val="666666"/>
                <w:spacing w:val="0"/>
                <w:sz w:val="21"/>
                <w:szCs w:val="21"/>
              </w:rPr>
              <w:t>±0.05%RD（10A≤I≤300A）</w:t>
            </w:r>
            <w:r>
              <w:rPr>
                <w:rFonts w:hint="eastAsia" w:asciiTheme="minorEastAsia" w:hAnsiTheme="minorEastAsia" w:eastAsiaTheme="minorEastAsia" w:cstheme="minorEastAsia"/>
                <w:i w:val="0"/>
                <w:iCs w:val="0"/>
                <w:caps w:val="0"/>
                <w:color w:val="666666"/>
                <w:spacing w:val="0"/>
                <w:sz w:val="21"/>
                <w:szCs w:val="21"/>
              </w:rPr>
              <w:br w:type="textWrapping"/>
            </w:r>
            <w:r>
              <w:rPr>
                <w:rFonts w:hint="eastAsia" w:asciiTheme="minorEastAsia" w:hAnsiTheme="minorEastAsia" w:eastAsiaTheme="minorEastAsia" w:cstheme="minorEastAsia"/>
                <w:i w:val="0"/>
                <w:iCs w:val="0"/>
                <w:caps w:val="0"/>
                <w:color w:val="666666"/>
                <w:spacing w:val="0"/>
                <w:sz w:val="21"/>
                <w:szCs w:val="21"/>
              </w:rPr>
              <w:t>电能计量0.05级</w:t>
            </w:r>
          </w:p>
        </w:tc>
      </w:tr>
      <w:tr w14:paraId="4CE96408">
        <w:trPr>
          <w:trHeight w:val="563" w:hRule="atLeast"/>
          <w:jc w:val="center"/>
        </w:trPr>
        <w:tc>
          <w:tcPr>
            <w:tcW w:w="2851"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5FFE6F94">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检测对象</w:t>
            </w:r>
          </w:p>
        </w:tc>
        <w:tc>
          <w:tcPr>
            <w:tcW w:w="5608"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3BDB17E4">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CCS2充电桩</w:t>
            </w:r>
          </w:p>
        </w:tc>
      </w:tr>
      <w:tr w14:paraId="3F1C9D35">
        <w:trPr>
          <w:trHeight w:val="287" w:hRule="atLeast"/>
          <w:jc w:val="center"/>
        </w:trPr>
        <w:tc>
          <w:tcPr>
            <w:tcW w:w="2851"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74E90BEB">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供电电源</w:t>
            </w:r>
          </w:p>
        </w:tc>
        <w:tc>
          <w:tcPr>
            <w:tcW w:w="5608"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489DDE4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666666"/>
                <w:spacing w:val="0"/>
                <w:sz w:val="21"/>
                <w:szCs w:val="21"/>
              </w:rPr>
              <w:t>100-240V AC,50Hz/60Hz ;100W</w:t>
            </w:r>
          </w:p>
        </w:tc>
      </w:tr>
      <w:tr w14:paraId="4178D456">
        <w:trPr>
          <w:trHeight w:val="287" w:hRule="atLeast"/>
          <w:jc w:val="center"/>
        </w:trPr>
        <w:tc>
          <w:tcPr>
            <w:tcW w:w="2851"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2764E165">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通信接口</w:t>
            </w:r>
          </w:p>
        </w:tc>
        <w:tc>
          <w:tcPr>
            <w:tcW w:w="5608"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2CD899B2">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支持LAN、RS232、WiFi</w:t>
            </w:r>
          </w:p>
        </w:tc>
      </w:tr>
      <w:tr w14:paraId="51299072">
        <w:trPr>
          <w:trHeight w:val="563" w:hRule="atLeast"/>
          <w:jc w:val="center"/>
        </w:trPr>
        <w:tc>
          <w:tcPr>
            <w:tcW w:w="2851"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7C96D359">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外扩负载</w:t>
            </w:r>
          </w:p>
        </w:tc>
        <w:tc>
          <w:tcPr>
            <w:tcW w:w="5608"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73ED7ED2">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≤300A</w:t>
            </w:r>
          </w:p>
        </w:tc>
      </w:tr>
      <w:tr w14:paraId="5BB75E38">
        <w:trPr>
          <w:trHeight w:val="563" w:hRule="atLeast"/>
          <w:jc w:val="center"/>
        </w:trPr>
        <w:tc>
          <w:tcPr>
            <w:tcW w:w="2851"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62B54D53">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是否带上位机软件</w:t>
            </w:r>
          </w:p>
        </w:tc>
        <w:tc>
          <w:tcPr>
            <w:tcW w:w="5608"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0F37C09F">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是</w:t>
            </w:r>
          </w:p>
        </w:tc>
      </w:tr>
      <w:tr w14:paraId="1E889B5C">
        <w:trPr>
          <w:trHeight w:val="563" w:hRule="atLeast"/>
          <w:jc w:val="center"/>
        </w:trPr>
        <w:tc>
          <w:tcPr>
            <w:tcW w:w="2851"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0154BC79">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工作温度</w:t>
            </w:r>
          </w:p>
        </w:tc>
        <w:tc>
          <w:tcPr>
            <w:tcW w:w="5608"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6BDD93C8">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-20℃ ~ 50℃</w:t>
            </w:r>
          </w:p>
        </w:tc>
      </w:tr>
      <w:tr w14:paraId="03AEAA5A">
        <w:trPr>
          <w:trHeight w:val="563" w:hRule="atLeast"/>
          <w:jc w:val="center"/>
        </w:trPr>
        <w:tc>
          <w:tcPr>
            <w:tcW w:w="2851"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6262A232">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存储温度</w:t>
            </w:r>
          </w:p>
        </w:tc>
        <w:tc>
          <w:tcPr>
            <w:tcW w:w="5608"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06013D54">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-30℃ ~ 70℃</w:t>
            </w:r>
          </w:p>
        </w:tc>
      </w:tr>
      <w:tr w14:paraId="019ED288">
        <w:trPr>
          <w:trHeight w:val="1378" w:hRule="atLeast"/>
          <w:jc w:val="center"/>
        </w:trPr>
        <w:tc>
          <w:tcPr>
            <w:tcW w:w="2851"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72BB2471">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相对湿度</w:t>
            </w:r>
          </w:p>
        </w:tc>
        <w:tc>
          <w:tcPr>
            <w:tcW w:w="5608"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209FCA35">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≤90% Rh（10℃ 至 30℃）；</w:t>
            </w:r>
          </w:p>
          <w:p w14:paraId="696C1DEF">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≤75% Rh（30℃ 至 40℃）；</w:t>
            </w:r>
          </w:p>
          <w:p w14:paraId="142E4C3B">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≤45% Rh（40℃ 至 50℃）；</w:t>
            </w:r>
          </w:p>
        </w:tc>
      </w:tr>
      <w:tr w14:paraId="53A2CC06">
        <w:trPr>
          <w:trHeight w:val="563" w:hRule="atLeast"/>
          <w:jc w:val="center"/>
        </w:trPr>
        <w:tc>
          <w:tcPr>
            <w:tcW w:w="2851"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10AB99EF">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面板香蕉插座信号</w:t>
            </w:r>
          </w:p>
        </w:tc>
        <w:tc>
          <w:tcPr>
            <w:tcW w:w="5608"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5DCFF82D">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DC+、DC-、CP、PE、PP</w:t>
            </w:r>
          </w:p>
        </w:tc>
      </w:tr>
      <w:tr w14:paraId="0786D3F1">
        <w:trPr>
          <w:trHeight w:val="563" w:hRule="atLeast"/>
          <w:jc w:val="center"/>
        </w:trPr>
        <w:tc>
          <w:tcPr>
            <w:tcW w:w="2851"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6DD429B4">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模拟故障开关</w:t>
            </w:r>
          </w:p>
        </w:tc>
        <w:tc>
          <w:tcPr>
            <w:tcW w:w="5608"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7F228618">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CP断线、CP接地、DC±断开、PE断针</w:t>
            </w:r>
          </w:p>
        </w:tc>
      </w:tr>
      <w:tr w14:paraId="1272FBD8">
        <w:trPr>
          <w:trHeight w:val="563" w:hRule="atLeast"/>
          <w:jc w:val="center"/>
        </w:trPr>
        <w:tc>
          <w:tcPr>
            <w:tcW w:w="2851" w:type="dxa"/>
            <w:tcBorders>
              <w:top w:val="nil"/>
              <w:left w:val="single" w:color="auto" w:sz="8" w:space="0"/>
              <w:bottom w:val="single" w:color="auto" w:sz="8" w:space="0"/>
              <w:right w:val="single" w:color="auto" w:sz="8" w:space="0"/>
            </w:tcBorders>
            <w:shd w:val="clear" w:color="auto" w:fill="FFFFFF"/>
            <w:tcMar>
              <w:top w:w="0" w:type="dxa"/>
              <w:left w:w="140" w:type="dxa"/>
              <w:bottom w:w="0" w:type="dxa"/>
              <w:right w:w="140" w:type="dxa"/>
            </w:tcMar>
            <w:vAlign w:val="center"/>
          </w:tcPr>
          <w:p w14:paraId="00D442E6">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产品尺寸</w:t>
            </w:r>
          </w:p>
        </w:tc>
        <w:tc>
          <w:tcPr>
            <w:tcW w:w="5608" w:type="dxa"/>
            <w:gridSpan w:val="2"/>
            <w:tcBorders>
              <w:top w:val="nil"/>
              <w:left w:val="nil"/>
              <w:bottom w:val="single" w:color="auto" w:sz="8" w:space="0"/>
              <w:right w:val="single" w:color="auto" w:sz="8" w:space="0"/>
            </w:tcBorders>
            <w:shd w:val="clear" w:color="auto" w:fill="FFFFFF"/>
            <w:tcMar>
              <w:top w:w="0" w:type="dxa"/>
              <w:left w:w="140" w:type="dxa"/>
              <w:bottom w:w="0" w:type="dxa"/>
              <w:right w:w="140" w:type="dxa"/>
            </w:tcMar>
            <w:vAlign w:val="center"/>
          </w:tcPr>
          <w:p w14:paraId="0703F811">
            <w:pPr>
              <w:pStyle w:val="2"/>
              <w:keepNext w:val="0"/>
              <w:keepLines w:val="0"/>
              <w:pageBreakBefore w:val="0"/>
              <w:widowControl/>
              <w:suppressLineNumbers w:val="0"/>
              <w:kinsoku/>
              <w:wordWrap/>
              <w:overflowPunct/>
              <w:topLinePunct w:val="0"/>
              <w:autoSpaceDE/>
              <w:autoSpaceDN/>
              <w:bidi w:val="0"/>
              <w:adjustRightInd/>
              <w:snapToGrid/>
              <w:spacing w:before="160" w:beforeAutospacing="0" w:after="16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L561 * W455 * H265 mm；</w:t>
            </w:r>
          </w:p>
        </w:tc>
      </w:tr>
      <w:tr w14:paraId="3833DA2B">
        <w:trPr>
          <w:trHeight w:val="574" w:hRule="atLeast"/>
          <w:jc w:val="center"/>
        </w:trPr>
        <w:tc>
          <w:tcPr>
            <w:tcW w:w="2851" w:type="dxa"/>
            <w:tcBorders>
              <w:top w:val="nil"/>
              <w:left w:val="single" w:color="auto" w:sz="8" w:space="0"/>
              <w:bottom w:val="single" w:color="auto" w:sz="8" w:space="0"/>
              <w:right w:val="single" w:color="auto" w:sz="8" w:space="0"/>
            </w:tcBorders>
            <w:shd w:val="clear" w:color="auto" w:fill="EEF5FA"/>
            <w:tcMar>
              <w:top w:w="0" w:type="dxa"/>
              <w:left w:w="140" w:type="dxa"/>
              <w:bottom w:w="0" w:type="dxa"/>
              <w:right w:w="140" w:type="dxa"/>
            </w:tcMar>
            <w:vAlign w:val="center"/>
          </w:tcPr>
          <w:p w14:paraId="229C279E">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000000"/>
                <w:spacing w:val="0"/>
                <w:sz w:val="21"/>
                <w:szCs w:val="21"/>
              </w:rPr>
              <w:t>           产品重量</w:t>
            </w:r>
          </w:p>
        </w:tc>
        <w:tc>
          <w:tcPr>
            <w:tcW w:w="5608" w:type="dxa"/>
            <w:gridSpan w:val="2"/>
            <w:tcBorders>
              <w:top w:val="nil"/>
              <w:left w:val="nil"/>
              <w:bottom w:val="single" w:color="auto" w:sz="8" w:space="0"/>
              <w:right w:val="single" w:color="auto" w:sz="8" w:space="0"/>
            </w:tcBorders>
            <w:shd w:val="clear" w:color="auto" w:fill="EEF5FA"/>
            <w:tcMar>
              <w:top w:w="0" w:type="dxa"/>
              <w:left w:w="140" w:type="dxa"/>
              <w:bottom w:w="0" w:type="dxa"/>
              <w:right w:w="140" w:type="dxa"/>
            </w:tcMar>
            <w:vAlign w:val="center"/>
          </w:tcPr>
          <w:p w14:paraId="613E0C7A">
            <w:pPr>
              <w:pStyle w:val="2"/>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aps w:val="0"/>
                <w:color w:val="666666"/>
                <w:spacing w:val="0"/>
                <w:sz w:val="21"/>
                <w:szCs w:val="21"/>
              </w:rPr>
              <w:t>≈25kg</w:t>
            </w:r>
          </w:p>
        </w:tc>
      </w:tr>
    </w:tbl>
    <w:p w14:paraId="04D96910">
      <w:pPr>
        <w:keepNext w:val="0"/>
        <w:keepLines w:val="0"/>
        <w:pageBreakBefore w:val="0"/>
        <w:widowControl/>
        <w:suppressLineNumbers w:val="0"/>
        <w:kinsoku/>
        <w:wordWrap/>
        <w:overflowPunct/>
        <w:topLinePunct w:val="0"/>
        <w:autoSpaceDE/>
        <w:autoSpaceDN/>
        <w:bidi w:val="0"/>
        <w:adjustRightInd/>
        <w:snapToGrid/>
        <w:spacing w:after="120" w:afterAutospacing="0" w:line="360" w:lineRule="auto"/>
        <w:ind w:left="0" w:leftChars="0" w:firstLine="630" w:firstLineChars="300"/>
        <w:jc w:val="both"/>
        <w:textAlignment w:val="auto"/>
        <w:rPr>
          <w:rFonts w:hint="eastAsia" w:asciiTheme="minorEastAsia" w:hAnsiTheme="minorEastAsia" w:eastAsiaTheme="minorEastAsia" w:cstheme="minorEastAsia"/>
          <w:b w:val="0"/>
          <w:i w:val="0"/>
          <w:iCs w:val="0"/>
          <w:caps w:val="0"/>
          <w:strike w:val="0"/>
          <w:color w:val="auto"/>
          <w:spacing w:val="0"/>
          <w:kern w:val="0"/>
          <w:sz w:val="21"/>
          <w:szCs w:val="21"/>
          <w:u w:val="none"/>
          <w:lang w:val="en-US" w:eastAsia="zh-CN" w:bidi="ar"/>
        </w:rPr>
      </w:pPr>
    </w:p>
    <w:p w14:paraId="5A82F2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 w:name="黑体">
    <w:altName w:val="汉仪中黑KW"/>
    <w:panose1 w:val="00000000000000000000"/>
    <w:charset w:val="00"/>
    <w:family w:val="auto"/>
    <w:pitch w:val="default"/>
    <w:sig w:usb0="00000000" w:usb1="00000000" w:usb2="00000000" w:usb3="00000000" w:csb0="00000000" w:csb1="00000000"/>
  </w:font>
  <w:font w:name="思源黑体 CN Light">
    <w:altName w:val="汉仪中黑KW"/>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FE81D6"/>
    <w:rsid w:val="3AFE81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2</TotalTime>
  <ScaleCrop>false</ScaleCrop>
  <LinksUpToDate>false</LinksUpToDate>
  <CharactersWithSpaces>0</CharactersWithSpaces>
  <Application>WPS Office_12.1.25205.25205_F1E327BC-269C-435d-A152-05C5408002CA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2026-08-18T10:16:00Z</dcterms:created>
  <dc:creator>Gwen</dc:creator>
  <cp:lastModifiedBy>Gwen</cp:lastModifiedBy>
  <dcterms:modified xsi:type="dcterms:W3CDTF">2026-08-18T10:18:41Z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2052-12.1.25205.25205</vt:lpwstr>
  </property>
  <property fmtid="{D5CDD505-2E9C-101B-9397-08002B2CF9AE}" pid="3" name="ICV">
    <vt:lpwstr>C19C022EA65F719967C0836A569D1AA2_41</vt:lpwstr>
  </property>
</Properties>
</file>