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A10C8">
      <w:pPr>
        <w:jc w:val="center"/>
        <w:rPr>
          <w:rFonts w:hint="eastAsia"/>
          <w:sz w:val="30"/>
          <w:szCs w:val="30"/>
        </w:rPr>
      </w:pPr>
      <w:r>
        <w:rPr>
          <w:rFonts w:hint="eastAsia"/>
          <w:sz w:val="30"/>
          <w:szCs w:val="30"/>
        </w:rPr>
        <w:t>欧标直流充电桩(机)大功率综合测试仪ST-9980EA-HPC</w:t>
      </w:r>
    </w:p>
    <w:p w14:paraId="41678585">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jc w:val="left"/>
        <w:rPr>
          <w:rFonts w:hint="default" w:ascii="微软雅黑" w:hAnsi="微软雅黑" w:eastAsia="微软雅黑" w:cs="微软雅黑"/>
          <w:color w:val="888888"/>
          <w:sz w:val="28"/>
          <w:szCs w:val="28"/>
        </w:rPr>
      </w:pPr>
      <w:r>
        <w:rPr>
          <w:rFonts w:hint="default" w:ascii="微软雅黑" w:hAnsi="微软雅黑" w:eastAsia="微软雅黑" w:cs="微软雅黑"/>
          <w:i w:val="0"/>
          <w:iCs w:val="0"/>
          <w:caps w:val="0"/>
          <w:color w:val="888888"/>
          <w:spacing w:val="0"/>
          <w:sz w:val="28"/>
          <w:szCs w:val="28"/>
          <w:shd w:val="clear" w:fill="FFFFFF"/>
        </w:rPr>
        <w:t>关键词:</w:t>
      </w:r>
    </w:p>
    <w:p w14:paraId="2106CD17">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jc w:val="left"/>
        <w:rPr>
          <w:rFonts w:hint="default" w:ascii="微软雅黑" w:hAnsi="微软雅黑" w:eastAsia="微软雅黑" w:cs="微软雅黑"/>
          <w:color w:val="333333"/>
          <w:sz w:val="28"/>
          <w:szCs w:val="28"/>
        </w:rPr>
      </w:pPr>
      <w:r>
        <w:rPr>
          <w:rFonts w:hint="default" w:ascii="微软雅黑" w:hAnsi="微软雅黑" w:eastAsia="微软雅黑" w:cs="微软雅黑"/>
          <w:i w:val="0"/>
          <w:iCs w:val="0"/>
          <w:caps w:val="0"/>
          <w:color w:val="333333"/>
          <w:spacing w:val="0"/>
          <w:sz w:val="28"/>
          <w:szCs w:val="28"/>
          <w:shd w:val="clear" w:fill="FFFFFF"/>
        </w:rPr>
        <w:t>欧标直流充电桩(机)大功率综合测试仪ST-9980EA-HPC</w:t>
      </w:r>
    </w:p>
    <w:p w14:paraId="57B28351">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jc w:val="left"/>
        <w:rPr>
          <w:rFonts w:hint="default" w:ascii="微软雅黑" w:hAnsi="微软雅黑" w:eastAsia="微软雅黑" w:cs="微软雅黑"/>
          <w:i w:val="0"/>
          <w:iCs w:val="0"/>
          <w:caps w:val="0"/>
          <w:spacing w:val="0"/>
          <w:sz w:val="28"/>
          <w:szCs w:val="28"/>
          <w:u w:val="none"/>
          <w:shd w:val="clear" w:fill="FFFFFF"/>
        </w:rPr>
      </w:pPr>
      <w:r>
        <w:rPr>
          <w:rFonts w:hint="default" w:ascii="微软雅黑" w:hAnsi="微软雅黑" w:eastAsia="微软雅黑" w:cs="微软雅黑"/>
          <w:i w:val="0"/>
          <w:iCs w:val="0"/>
          <w:caps w:val="0"/>
          <w:color w:val="888888"/>
          <w:spacing w:val="0"/>
          <w:sz w:val="28"/>
          <w:szCs w:val="28"/>
          <w:shd w:val="clear" w:fill="FFFFFF"/>
        </w:rPr>
        <w:t>所属分类:</w:t>
      </w:r>
      <w:r>
        <w:rPr>
          <w:rFonts w:hint="default" w:ascii="微软雅黑" w:hAnsi="微软雅黑" w:eastAsia="微软雅黑" w:cs="微软雅黑"/>
          <w:i w:val="0"/>
          <w:iCs w:val="0"/>
          <w:caps w:val="0"/>
          <w:spacing w:val="0"/>
          <w:sz w:val="28"/>
          <w:szCs w:val="28"/>
          <w:u w:val="none"/>
          <w:shd w:val="clear" w:fill="FFFFFF"/>
        </w:rPr>
        <w:fldChar w:fldCharType="begin"/>
      </w:r>
      <w:r>
        <w:rPr>
          <w:rFonts w:hint="default" w:ascii="微软雅黑" w:hAnsi="微软雅黑" w:eastAsia="微软雅黑" w:cs="微软雅黑"/>
          <w:i w:val="0"/>
          <w:iCs w:val="0"/>
          <w:caps w:val="0"/>
          <w:spacing w:val="0"/>
          <w:sz w:val="28"/>
          <w:szCs w:val="28"/>
          <w:u w:val="none"/>
          <w:shd w:val="clear" w:fill="FFFFFF"/>
        </w:rPr>
        <w:instrText xml:space="preserve"> HYPERLINK "https://www.saiter.cn/products/4.html" \t "/Users/gwen/Documents\\x/_self" </w:instrText>
      </w:r>
      <w:r>
        <w:rPr>
          <w:rFonts w:hint="default" w:ascii="微软雅黑" w:hAnsi="微软雅黑" w:eastAsia="微软雅黑" w:cs="微软雅黑"/>
          <w:i w:val="0"/>
          <w:iCs w:val="0"/>
          <w:caps w:val="0"/>
          <w:spacing w:val="0"/>
          <w:sz w:val="28"/>
          <w:szCs w:val="28"/>
          <w:u w:val="none"/>
          <w:shd w:val="clear" w:fill="FFFFFF"/>
        </w:rPr>
        <w:fldChar w:fldCharType="separate"/>
      </w:r>
      <w:r>
        <w:rPr>
          <w:rStyle w:val="7"/>
          <w:rFonts w:hint="default" w:ascii="微软雅黑" w:hAnsi="微软雅黑" w:eastAsia="微软雅黑" w:cs="微软雅黑"/>
          <w:i w:val="0"/>
          <w:iCs w:val="0"/>
          <w:caps w:val="0"/>
          <w:spacing w:val="0"/>
          <w:sz w:val="28"/>
          <w:szCs w:val="28"/>
          <w:u w:val="none"/>
          <w:shd w:val="clear" w:fill="FFFFFF"/>
        </w:rPr>
        <w:t>运维现场测试</w:t>
      </w:r>
      <w:r>
        <w:rPr>
          <w:rFonts w:hint="default" w:ascii="微软雅黑" w:hAnsi="微软雅黑" w:eastAsia="微软雅黑" w:cs="微软雅黑"/>
          <w:i w:val="0"/>
          <w:iCs w:val="0"/>
          <w:caps w:val="0"/>
          <w:spacing w:val="0"/>
          <w:sz w:val="28"/>
          <w:szCs w:val="28"/>
          <w:u w:val="none"/>
          <w:shd w:val="clear" w:fill="FFFFFF"/>
        </w:rPr>
        <w:fldChar w:fldCharType="end"/>
      </w:r>
      <w:r>
        <w:rPr>
          <w:rFonts w:hint="eastAsia" w:ascii="微软雅黑" w:hAnsi="微软雅黑" w:eastAsia="微软雅黑" w:cs="微软雅黑"/>
          <w:i w:val="0"/>
          <w:iCs w:val="0"/>
          <w:caps w:val="0"/>
          <w:spacing w:val="0"/>
          <w:sz w:val="28"/>
          <w:szCs w:val="28"/>
          <w:u w:val="none"/>
          <w:shd w:val="clear" w:fill="FFFFFF"/>
          <w:lang w:eastAsia="zh-CN"/>
        </w:rPr>
        <w:t>；</w:t>
      </w:r>
      <w:r>
        <w:rPr>
          <w:rFonts w:hint="default" w:ascii="微软雅黑" w:hAnsi="微软雅黑" w:eastAsia="微软雅黑" w:cs="微软雅黑"/>
          <w:i w:val="0"/>
          <w:iCs w:val="0"/>
          <w:caps w:val="0"/>
          <w:spacing w:val="0"/>
          <w:sz w:val="28"/>
          <w:szCs w:val="28"/>
          <w:u w:val="none"/>
          <w:shd w:val="clear" w:fill="FFFFFF"/>
        </w:rPr>
        <w:fldChar w:fldCharType="begin"/>
      </w:r>
      <w:r>
        <w:rPr>
          <w:rFonts w:hint="default" w:ascii="微软雅黑" w:hAnsi="微软雅黑" w:eastAsia="微软雅黑" w:cs="微软雅黑"/>
          <w:i w:val="0"/>
          <w:iCs w:val="0"/>
          <w:caps w:val="0"/>
          <w:spacing w:val="0"/>
          <w:sz w:val="28"/>
          <w:szCs w:val="28"/>
          <w:u w:val="none"/>
          <w:shd w:val="clear" w:fill="FFFFFF"/>
        </w:rPr>
        <w:instrText xml:space="preserve"> HYPERLINK "https://www.saiter.cn/products/5.html" \t "/Users/gwen/Documents\\x/_self" </w:instrText>
      </w:r>
      <w:r>
        <w:rPr>
          <w:rFonts w:hint="default" w:ascii="微软雅黑" w:hAnsi="微软雅黑" w:eastAsia="微软雅黑" w:cs="微软雅黑"/>
          <w:i w:val="0"/>
          <w:iCs w:val="0"/>
          <w:caps w:val="0"/>
          <w:spacing w:val="0"/>
          <w:sz w:val="28"/>
          <w:szCs w:val="28"/>
          <w:u w:val="none"/>
          <w:shd w:val="clear" w:fill="FFFFFF"/>
        </w:rPr>
        <w:fldChar w:fldCharType="separate"/>
      </w:r>
      <w:r>
        <w:rPr>
          <w:rStyle w:val="7"/>
          <w:rFonts w:hint="default" w:ascii="微软雅黑" w:hAnsi="微软雅黑" w:eastAsia="微软雅黑" w:cs="微软雅黑"/>
          <w:i w:val="0"/>
          <w:iCs w:val="0"/>
          <w:caps w:val="0"/>
          <w:spacing w:val="0"/>
          <w:sz w:val="28"/>
          <w:szCs w:val="28"/>
          <w:u w:val="none"/>
          <w:shd w:val="clear" w:fill="FFFFFF"/>
        </w:rPr>
        <w:t>实验室测试</w:t>
      </w:r>
      <w:r>
        <w:rPr>
          <w:rFonts w:hint="default" w:ascii="微软雅黑" w:hAnsi="微软雅黑" w:eastAsia="微软雅黑" w:cs="微软雅黑"/>
          <w:i w:val="0"/>
          <w:iCs w:val="0"/>
          <w:caps w:val="0"/>
          <w:spacing w:val="0"/>
          <w:sz w:val="28"/>
          <w:szCs w:val="28"/>
          <w:u w:val="none"/>
          <w:shd w:val="clear" w:fill="FFFFFF"/>
        </w:rPr>
        <w:fldChar w:fldCharType="end"/>
      </w:r>
      <w:r>
        <w:rPr>
          <w:rFonts w:hint="eastAsia" w:ascii="微软雅黑" w:hAnsi="微软雅黑" w:eastAsia="微软雅黑" w:cs="微软雅黑"/>
          <w:i w:val="0"/>
          <w:iCs w:val="0"/>
          <w:caps w:val="0"/>
          <w:spacing w:val="0"/>
          <w:sz w:val="28"/>
          <w:szCs w:val="28"/>
          <w:u w:val="none"/>
          <w:shd w:val="clear" w:fill="FFFFFF"/>
          <w:lang w:eastAsia="zh-CN"/>
        </w:rPr>
        <w:t>；</w:t>
      </w:r>
      <w:r>
        <w:rPr>
          <w:rFonts w:hint="default" w:ascii="微软雅黑" w:hAnsi="微软雅黑" w:eastAsia="微软雅黑" w:cs="微软雅黑"/>
          <w:i w:val="0"/>
          <w:iCs w:val="0"/>
          <w:caps w:val="0"/>
          <w:spacing w:val="0"/>
          <w:sz w:val="28"/>
          <w:szCs w:val="28"/>
          <w:u w:val="none"/>
          <w:shd w:val="clear" w:fill="FFFFFF"/>
        </w:rPr>
        <w:fldChar w:fldCharType="begin"/>
      </w:r>
      <w:r>
        <w:rPr>
          <w:rFonts w:hint="default" w:ascii="微软雅黑" w:hAnsi="微软雅黑" w:eastAsia="微软雅黑" w:cs="微软雅黑"/>
          <w:i w:val="0"/>
          <w:iCs w:val="0"/>
          <w:caps w:val="0"/>
          <w:spacing w:val="0"/>
          <w:sz w:val="28"/>
          <w:szCs w:val="28"/>
          <w:u w:val="none"/>
          <w:shd w:val="clear" w:fill="FFFFFF"/>
        </w:rPr>
        <w:instrText xml:space="preserve"> HYPERLINK "https://www.saiter.cn/products/12.html" \t "/Users/gwen/Documents\\x/_self" </w:instrText>
      </w:r>
      <w:r>
        <w:rPr>
          <w:rFonts w:hint="default" w:ascii="微软雅黑" w:hAnsi="微软雅黑" w:eastAsia="微软雅黑" w:cs="微软雅黑"/>
          <w:i w:val="0"/>
          <w:iCs w:val="0"/>
          <w:caps w:val="0"/>
          <w:spacing w:val="0"/>
          <w:sz w:val="28"/>
          <w:szCs w:val="28"/>
          <w:u w:val="none"/>
          <w:shd w:val="clear" w:fill="FFFFFF"/>
        </w:rPr>
        <w:fldChar w:fldCharType="separate"/>
      </w:r>
      <w:r>
        <w:rPr>
          <w:rStyle w:val="7"/>
          <w:rFonts w:hint="default" w:ascii="微软雅黑" w:hAnsi="微软雅黑" w:eastAsia="微软雅黑" w:cs="微软雅黑"/>
          <w:i w:val="0"/>
          <w:iCs w:val="0"/>
          <w:caps w:val="0"/>
          <w:spacing w:val="0"/>
          <w:sz w:val="28"/>
          <w:szCs w:val="28"/>
          <w:u w:val="none"/>
          <w:shd w:val="clear" w:fill="FFFFFF"/>
        </w:rPr>
        <w:t>充电桩测试</w:t>
      </w:r>
      <w:r>
        <w:rPr>
          <w:rFonts w:hint="default" w:ascii="微软雅黑" w:hAnsi="微软雅黑" w:eastAsia="微软雅黑" w:cs="微软雅黑"/>
          <w:i w:val="0"/>
          <w:iCs w:val="0"/>
          <w:caps w:val="0"/>
          <w:spacing w:val="0"/>
          <w:sz w:val="28"/>
          <w:szCs w:val="28"/>
          <w:u w:val="none"/>
          <w:shd w:val="clear" w:fill="FFFFFF"/>
        </w:rPr>
        <w:fldChar w:fldCharType="end"/>
      </w:r>
    </w:p>
    <w:p w14:paraId="5B4E108F">
      <w:pPr>
        <w:pStyle w:val="3"/>
        <w:keepNext w:val="0"/>
        <w:keepLines w:val="0"/>
        <w:widowControl/>
        <w:suppressLineNumbers w:val="0"/>
        <w:shd w:val="clear" w:fill="FFFFFF"/>
        <w:spacing w:before="0" w:beforeAutospacing="0" w:after="0" w:afterAutospacing="0"/>
        <w:ind w:left="0" w:right="0" w:firstLine="420"/>
        <w:jc w:val="left"/>
        <w:rPr>
          <w:rFonts w:hint="default" w:ascii="微软雅黑" w:hAnsi="微软雅黑" w:eastAsia="微软雅黑" w:cs="微软雅黑"/>
          <w:i w:val="0"/>
          <w:iCs w:val="0"/>
          <w:caps w:val="0"/>
          <w:color w:val="888888"/>
          <w:spacing w:val="0"/>
          <w:sz w:val="28"/>
          <w:szCs w:val="28"/>
          <w:shd w:val="clear" w:fill="FFFFFF"/>
        </w:rPr>
      </w:pPr>
      <w:r>
        <w:rPr>
          <w:rStyle w:val="6"/>
          <w:rFonts w:hint="default" w:ascii="微软雅黑" w:hAnsi="微软雅黑" w:eastAsia="微软雅黑" w:cs="微软雅黑"/>
          <w:b/>
          <w:bCs/>
          <w:i w:val="0"/>
          <w:iCs w:val="0"/>
          <w:caps w:val="0"/>
          <w:color w:val="666666"/>
          <w:spacing w:val="0"/>
          <w:sz w:val="28"/>
          <w:szCs w:val="28"/>
          <w:shd w:val="clear" w:fill="FFFFFF"/>
        </w:rPr>
        <w:t>欧标直流充电桩测试仪ST-9980EA-HPC</w:t>
      </w:r>
      <w:r>
        <w:rPr>
          <w:rFonts w:hint="default" w:ascii="微软雅黑" w:hAnsi="微软雅黑" w:eastAsia="微软雅黑" w:cs="微软雅黑"/>
          <w:i w:val="0"/>
          <w:iCs w:val="0"/>
          <w:caps w:val="0"/>
          <w:color w:val="666666"/>
          <w:spacing w:val="0"/>
          <w:sz w:val="28"/>
          <w:szCs w:val="28"/>
          <w:shd w:val="clear" w:fill="FFFFFF"/>
        </w:rPr>
        <w:t>，是一款专门用于欧标电动汽车直流充电桩检测装置，主要应用于电动汽车非车载传导式充电机产品现场测试及产品验收功能验证，适用于直流充电桩生产厂家研发、第三方检测机构现场验收/巡，及直流充电桩购买方、检测单位等进行现场验收测试;其具备的实用功能避免了采用电动汽车实车作为检测装置带来的测试使用不方便、测试内容不全面等问题，同时可避免充电桩故障而导致测试车辆损坏。</w:t>
      </w:r>
    </w:p>
    <w:p w14:paraId="5D76D288">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firstLine="420" w:firstLineChars="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便携式拉杆箱设计、体积小、重量轻，方便外出携带，且电气防护等级高;</w:t>
      </w:r>
    </w:p>
    <w:p w14:paraId="634A182C">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firstLine="420" w:firstLineChars="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配有满足CCS2电动汽车传导充电用直流充电车辆插座1个(DC1000V500A) ;</w:t>
      </w:r>
    </w:p>
    <w:p w14:paraId="6404163A">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firstLine="420" w:firstLineChars="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严格执行ISO15118，DIN SPEC70121充电通讯协议标准，满足标准充电时序测试需求;</w:t>
      </w:r>
    </w:p>
    <w:p w14:paraId="66A0EA61">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10.1寸带触摸屏界面，对充电桩的充电电压、充电电流、CP状态等信息实时监测显示</w:t>
      </w:r>
    </w:p>
    <w:p w14:paraId="641ADC29">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设备配备上位机软件，可通上位机软件设置充电参数以及充电状态显示，软件可实时输出当前充电报文数据;</w:t>
      </w:r>
    </w:p>
    <w:p w14:paraId="07B20BA2">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多通道高精度高速波形采集模块，可采集充电电压、电流、导引信号等，满足设备互操测试需求;(选配)车辆控制导引电路模拟功能，真实模拟车辆充电过程设备面板上带专用校准端子，可使用多种方法对充电信号进行检定;</w:t>
      </w:r>
    </w:p>
    <w:p w14:paraId="6786013B">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firstLine="420" w:firstLineChars="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支持EVCC参数设置、EVSE参数显示等充电参数的显示与设置;</w:t>
      </w:r>
    </w:p>
    <w:p w14:paraId="29CBC5CC">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支持充电电压、电流、功率、状态显示，充电时序图显示、充电波形图显示; (选配)</w:t>
      </w:r>
    </w:p>
    <w:p w14:paraId="4D768242">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firstLine="420" w:firstLineChars="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测试仪内置无线WiFi功能，上位机可通过连接设备WViFi进行远程无线测试;(选配)</w:t>
      </w:r>
    </w:p>
    <w:p w14:paraId="5CEA1292">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jc w:val="left"/>
        <w:rPr>
          <w:rFonts w:hint="default" w:ascii="微软雅黑" w:hAnsi="微软雅黑" w:eastAsia="微软雅黑" w:cs="微软雅黑"/>
          <w:i w:val="0"/>
          <w:iCs w:val="0"/>
          <w:caps w:val="0"/>
          <w:color w:val="888888"/>
          <w:spacing w:val="0"/>
          <w:sz w:val="28"/>
          <w:szCs w:val="28"/>
          <w:shd w:val="clear" w:fill="FFFFFF"/>
        </w:rPr>
      </w:pPr>
      <w:r>
        <w:rPr>
          <w:rFonts w:hint="default" w:ascii="微软雅黑" w:hAnsi="微软雅黑" w:eastAsia="微软雅黑" w:cs="微软雅黑"/>
          <w:i w:val="0"/>
          <w:iCs w:val="0"/>
          <w:caps w:val="0"/>
          <w:color w:val="888888"/>
          <w:spacing w:val="0"/>
          <w:sz w:val="28"/>
          <w:szCs w:val="28"/>
          <w:shd w:val="clear" w:fill="FFFFFF"/>
        </w:rPr>
        <w:t>内置HomePlugGreenPHY数据监听模块，支持提供HomePlugGreenPHY数据包采集/保存，支持用户对充电底层数据分析;(选配) </w:t>
      </w:r>
    </w:p>
    <w:p w14:paraId="2E747254">
      <w:pPr>
        <w:pStyle w:val="3"/>
        <w:keepNext w:val="0"/>
        <w:keepLines w:val="0"/>
        <w:widowControl/>
        <w:suppressLineNumbers w:val="0"/>
        <w:shd w:val="clear" w:fill="FFFFFF"/>
        <w:spacing w:before="0" w:beforeAutospacing="0" w:after="0" w:afterAutospacing="0"/>
        <w:ind w:left="0" w:right="0" w:firstLine="0"/>
        <w:jc w:val="left"/>
        <w:rPr>
          <w:rFonts w:hint="default" w:ascii="微软雅黑" w:hAnsi="微软雅黑" w:eastAsia="微软雅黑" w:cs="微软雅黑"/>
          <w:i w:val="0"/>
          <w:iCs w:val="0"/>
          <w:caps w:val="0"/>
          <w:color w:val="666666"/>
          <w:spacing w:val="0"/>
          <w:sz w:val="28"/>
          <w:szCs w:val="28"/>
        </w:rPr>
      </w:pPr>
      <w:r>
        <w:rPr>
          <w:rFonts w:hint="default" w:ascii="微软雅黑" w:hAnsi="微软雅黑" w:eastAsia="微软雅黑" w:cs="微软雅黑"/>
          <w:i w:val="0"/>
          <w:iCs w:val="0"/>
          <w:caps w:val="0"/>
          <w:color w:val="666666"/>
          <w:spacing w:val="0"/>
          <w:sz w:val="28"/>
          <w:szCs w:val="28"/>
          <w:shd w:val="clear" w:fill="FFFFFF"/>
        </w:rPr>
        <w:t> </w:t>
      </w:r>
    </w:p>
    <w:tbl>
      <w:tblPr>
        <w:tblW w:w="9239"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0" w:type="dxa"/>
          <w:left w:w="150" w:type="dxa"/>
          <w:bottom w:w="150" w:type="dxa"/>
          <w:right w:w="150" w:type="dxa"/>
        </w:tblCellMar>
      </w:tblPr>
      <w:tblGrid>
        <w:gridCol w:w="2602"/>
        <w:gridCol w:w="6637"/>
      </w:tblGrid>
      <w:tr w14:paraId="18526EEF">
        <w:trPr>
          <w:trHeight w:val="1006" w:hRule="atLeast"/>
        </w:trPr>
        <w:tc>
          <w:tcPr>
            <w:tcW w:w="1384" w:type="dxa"/>
            <w:tcBorders>
              <w:top w:val="outset" w:color="auto" w:sz="6" w:space="0"/>
              <w:left w:val="outset" w:color="auto" w:sz="6" w:space="0"/>
              <w:bottom w:val="outset" w:color="auto" w:sz="6" w:space="0"/>
              <w:right w:val="outset" w:color="auto" w:sz="6" w:space="0"/>
            </w:tcBorders>
            <w:shd w:val="clear" w:color="auto" w:fill="00AEEF"/>
            <w:tcMar>
              <w:top w:w="200" w:type="dxa"/>
              <w:left w:w="200" w:type="dxa"/>
              <w:bottom w:w="200" w:type="dxa"/>
              <w:right w:w="200" w:type="dxa"/>
            </w:tcMar>
            <w:vAlign w:val="center"/>
          </w:tcPr>
          <w:p w14:paraId="2F3AF0BE">
            <w:pPr>
              <w:keepNext w:val="0"/>
              <w:keepLines w:val="0"/>
              <w:widowControl/>
              <w:suppressLineNumbers w:val="0"/>
              <w:jc w:val="center"/>
              <w:rPr>
                <w:b/>
                <w:bCs/>
                <w:color w:val="FFFFFF"/>
                <w:sz w:val="32"/>
                <w:szCs w:val="32"/>
              </w:rPr>
            </w:pPr>
            <w:r>
              <w:rPr>
                <w:rFonts w:ascii="宋体" w:hAnsi="宋体" w:eastAsia="宋体" w:cs="宋体"/>
                <w:b/>
                <w:bCs/>
                <w:color w:val="FFFFFF"/>
                <w:kern w:val="0"/>
                <w:sz w:val="32"/>
                <w:szCs w:val="32"/>
                <w:bdr w:val="none" w:color="auto" w:sz="0" w:space="0"/>
                <w:lang w:val="en-US" w:eastAsia="zh-CN" w:bidi="ar"/>
              </w:rPr>
              <w:t>品名</w:t>
            </w:r>
          </w:p>
        </w:tc>
        <w:tc>
          <w:tcPr>
            <w:tcW w:w="0" w:type="auto"/>
            <w:tcBorders>
              <w:top w:val="outset" w:color="auto" w:sz="6" w:space="0"/>
              <w:left w:val="outset" w:color="auto" w:sz="6" w:space="0"/>
              <w:bottom w:val="outset" w:color="auto" w:sz="6" w:space="0"/>
              <w:right w:val="outset" w:color="auto" w:sz="6" w:space="0"/>
            </w:tcBorders>
            <w:shd w:val="clear" w:color="auto" w:fill="00AEEF"/>
            <w:tcMar>
              <w:top w:w="200" w:type="dxa"/>
              <w:left w:w="200" w:type="dxa"/>
              <w:bottom w:w="200" w:type="dxa"/>
              <w:right w:w="200" w:type="dxa"/>
            </w:tcMar>
            <w:vAlign w:val="center"/>
          </w:tcPr>
          <w:p w14:paraId="741F9699">
            <w:pPr>
              <w:keepNext w:val="0"/>
              <w:keepLines w:val="0"/>
              <w:widowControl/>
              <w:suppressLineNumbers w:val="0"/>
              <w:jc w:val="left"/>
              <w:rPr>
                <w:b/>
                <w:bCs/>
                <w:color w:val="FFFFFF"/>
                <w:sz w:val="28"/>
                <w:szCs w:val="28"/>
              </w:rPr>
            </w:pPr>
            <w:r>
              <w:rPr>
                <w:rFonts w:ascii="宋体" w:hAnsi="宋体" w:eastAsia="宋体" w:cs="宋体"/>
                <w:b/>
                <w:bCs/>
                <w:color w:val="FFFFFF"/>
                <w:kern w:val="0"/>
                <w:sz w:val="28"/>
                <w:szCs w:val="28"/>
                <w:bdr w:val="none" w:color="auto" w:sz="0" w:space="0"/>
                <w:lang w:val="en-US" w:eastAsia="zh-CN" w:bidi="ar"/>
              </w:rPr>
              <w:t>直流充电桩(机)综合测试仪</w:t>
            </w:r>
          </w:p>
        </w:tc>
      </w:tr>
      <w:tr w14:paraId="38850A38">
        <w:trPr>
          <w:trHeight w:val="1006" w:hRule="atLeast"/>
        </w:trPr>
        <w:tc>
          <w:tcPr>
            <w:tcW w:w="1384"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57ECE634">
            <w:pPr>
              <w:keepNext w:val="0"/>
              <w:keepLines w:val="0"/>
              <w:widowControl/>
              <w:suppressLineNumbers w:val="0"/>
              <w:jc w:val="center"/>
              <w:rPr>
                <w:b/>
                <w:bCs/>
                <w:color w:val="444444"/>
                <w:sz w:val="28"/>
                <w:szCs w:val="28"/>
              </w:rPr>
            </w:pPr>
            <w:r>
              <w:rPr>
                <w:rFonts w:ascii="宋体" w:hAnsi="宋体" w:eastAsia="宋体" w:cs="宋体"/>
                <w:b/>
                <w:bCs/>
                <w:color w:val="444444"/>
                <w:kern w:val="0"/>
                <w:sz w:val="28"/>
                <w:szCs w:val="28"/>
                <w:bdr w:val="none" w:color="auto" w:sz="0" w:space="0"/>
                <w:lang w:val="en-US" w:eastAsia="zh-CN" w:bidi="ar"/>
              </w:rPr>
              <w:t>IEC 61851-1.2017</w:t>
            </w:r>
          </w:p>
        </w:tc>
        <w:tc>
          <w:tcPr>
            <w:tcW w:w="0" w:type="auto"/>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5C0D57CD">
            <w:pPr>
              <w:keepNext w:val="0"/>
              <w:keepLines w:val="0"/>
              <w:widowControl/>
              <w:suppressLineNumbers w:val="0"/>
              <w:jc w:val="left"/>
              <w:rPr>
                <w:color w:val="444444"/>
                <w:sz w:val="28"/>
                <w:szCs w:val="28"/>
              </w:rPr>
            </w:pPr>
            <w:r>
              <w:rPr>
                <w:rFonts w:ascii="宋体" w:hAnsi="宋体" w:eastAsia="宋体" w:cs="宋体"/>
                <w:color w:val="444444"/>
                <w:kern w:val="0"/>
                <w:sz w:val="28"/>
                <w:szCs w:val="28"/>
                <w:bdr w:val="none" w:color="auto" w:sz="0" w:space="0"/>
                <w:lang w:val="en-US" w:eastAsia="zh-CN" w:bidi="ar"/>
              </w:rPr>
              <w:t>Electric vehide conductive charging system - Part 1: General requirements</w:t>
            </w:r>
          </w:p>
        </w:tc>
      </w:tr>
      <w:tr w14:paraId="51A538FD">
        <w:trPr>
          <w:trHeight w:val="1006" w:hRule="atLeast"/>
        </w:trPr>
        <w:tc>
          <w:tcPr>
            <w:tcW w:w="1384"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7F9536E6">
            <w:pPr>
              <w:keepNext w:val="0"/>
              <w:keepLines w:val="0"/>
              <w:widowControl/>
              <w:suppressLineNumbers w:val="0"/>
              <w:jc w:val="center"/>
              <w:rPr>
                <w:b/>
                <w:bCs/>
                <w:color w:val="444444"/>
                <w:sz w:val="28"/>
                <w:szCs w:val="28"/>
              </w:rPr>
            </w:pPr>
            <w:r>
              <w:rPr>
                <w:rFonts w:ascii="宋体" w:hAnsi="宋体" w:eastAsia="宋体" w:cs="宋体"/>
                <w:b/>
                <w:bCs/>
                <w:color w:val="444444"/>
                <w:kern w:val="0"/>
                <w:sz w:val="28"/>
                <w:szCs w:val="28"/>
                <w:bdr w:val="none" w:color="auto" w:sz="0" w:space="0"/>
                <w:lang w:val="en-US" w:eastAsia="zh-CN" w:bidi="ar"/>
              </w:rPr>
              <w:t>IEC61851-23.2014</w:t>
            </w:r>
          </w:p>
        </w:tc>
        <w:tc>
          <w:tcPr>
            <w:tcW w:w="0" w:type="auto"/>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3E68DEBD">
            <w:pPr>
              <w:keepNext w:val="0"/>
              <w:keepLines w:val="0"/>
              <w:widowControl/>
              <w:suppressLineNumbers w:val="0"/>
              <w:jc w:val="left"/>
              <w:rPr>
                <w:color w:val="444444"/>
                <w:sz w:val="28"/>
                <w:szCs w:val="28"/>
              </w:rPr>
            </w:pPr>
            <w:r>
              <w:rPr>
                <w:rFonts w:ascii="宋体" w:hAnsi="宋体" w:eastAsia="宋体" w:cs="宋体"/>
                <w:color w:val="444444"/>
                <w:kern w:val="0"/>
                <w:sz w:val="28"/>
                <w:szCs w:val="28"/>
                <w:bdr w:val="none" w:color="auto" w:sz="0" w:space="0"/>
                <w:lang w:val="en-US" w:eastAsia="zh-CN" w:bidi="ar"/>
              </w:rPr>
              <w:t>Electric vehide conductive charging system - Part 23: DC electric vehide supply equipment</w:t>
            </w:r>
          </w:p>
        </w:tc>
      </w:tr>
      <w:tr w14:paraId="197F589D">
        <w:trPr>
          <w:trHeight w:val="1006" w:hRule="atLeast"/>
        </w:trPr>
        <w:tc>
          <w:tcPr>
            <w:tcW w:w="1384"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0B2739E6">
            <w:pPr>
              <w:keepNext w:val="0"/>
              <w:keepLines w:val="0"/>
              <w:widowControl/>
              <w:suppressLineNumbers w:val="0"/>
              <w:jc w:val="center"/>
              <w:rPr>
                <w:b/>
                <w:bCs/>
                <w:color w:val="444444"/>
                <w:sz w:val="28"/>
                <w:szCs w:val="28"/>
              </w:rPr>
            </w:pPr>
            <w:r>
              <w:rPr>
                <w:rFonts w:ascii="宋体" w:hAnsi="宋体" w:eastAsia="宋体" w:cs="宋体"/>
                <w:b/>
                <w:bCs/>
                <w:color w:val="444444"/>
                <w:kern w:val="0"/>
                <w:sz w:val="28"/>
                <w:szCs w:val="28"/>
                <w:bdr w:val="none" w:color="auto" w:sz="0" w:space="0"/>
                <w:lang w:val="en-US" w:eastAsia="zh-CN" w:bidi="ar"/>
              </w:rPr>
              <w:t>ISO 15118-1.2013</w:t>
            </w:r>
          </w:p>
        </w:tc>
        <w:tc>
          <w:tcPr>
            <w:tcW w:w="0" w:type="auto"/>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6E309716">
            <w:pPr>
              <w:keepNext w:val="0"/>
              <w:keepLines w:val="0"/>
              <w:widowControl/>
              <w:suppressLineNumbers w:val="0"/>
              <w:jc w:val="left"/>
              <w:rPr>
                <w:color w:val="444444"/>
                <w:sz w:val="28"/>
                <w:szCs w:val="28"/>
              </w:rPr>
            </w:pPr>
            <w:r>
              <w:rPr>
                <w:rFonts w:ascii="宋体" w:hAnsi="宋体" w:eastAsia="宋体" w:cs="宋体"/>
                <w:color w:val="444444"/>
                <w:kern w:val="0"/>
                <w:sz w:val="28"/>
                <w:szCs w:val="28"/>
                <w:bdr w:val="none" w:color="auto" w:sz="0" w:space="0"/>
                <w:lang w:val="en-US" w:eastAsia="zh-CN" w:bidi="ar"/>
              </w:rPr>
              <w:t>Road vehidles -- Vehicle to grid communication interface - Part 1: General information and use-case definition</w:t>
            </w:r>
          </w:p>
        </w:tc>
      </w:tr>
      <w:tr w14:paraId="5F1CF5AC">
        <w:trPr>
          <w:trHeight w:val="1006" w:hRule="atLeast"/>
        </w:trPr>
        <w:tc>
          <w:tcPr>
            <w:tcW w:w="1384"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66D8423A">
            <w:pPr>
              <w:keepNext w:val="0"/>
              <w:keepLines w:val="0"/>
              <w:widowControl/>
              <w:suppressLineNumbers w:val="0"/>
              <w:jc w:val="center"/>
              <w:rPr>
                <w:b/>
                <w:bCs/>
                <w:color w:val="444444"/>
                <w:sz w:val="28"/>
                <w:szCs w:val="28"/>
              </w:rPr>
            </w:pPr>
            <w:r>
              <w:rPr>
                <w:rFonts w:ascii="宋体" w:hAnsi="宋体" w:eastAsia="宋体" w:cs="宋体"/>
                <w:b/>
                <w:bCs/>
                <w:color w:val="444444"/>
                <w:kern w:val="0"/>
                <w:sz w:val="28"/>
                <w:szCs w:val="28"/>
                <w:bdr w:val="none" w:color="auto" w:sz="0" w:space="0"/>
                <w:lang w:val="en-US" w:eastAsia="zh-CN" w:bidi="ar"/>
              </w:rPr>
              <w:t>ISO 15118-2.2014</w:t>
            </w:r>
          </w:p>
        </w:tc>
        <w:tc>
          <w:tcPr>
            <w:tcW w:w="0" w:type="auto"/>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1E76E038">
            <w:pPr>
              <w:keepNext w:val="0"/>
              <w:keepLines w:val="0"/>
              <w:widowControl/>
              <w:suppressLineNumbers w:val="0"/>
              <w:jc w:val="left"/>
              <w:rPr>
                <w:color w:val="444444"/>
                <w:sz w:val="28"/>
                <w:szCs w:val="28"/>
              </w:rPr>
            </w:pPr>
            <w:r>
              <w:rPr>
                <w:rFonts w:ascii="宋体" w:hAnsi="宋体" w:eastAsia="宋体" w:cs="宋体"/>
                <w:color w:val="444444"/>
                <w:kern w:val="0"/>
                <w:sz w:val="28"/>
                <w:szCs w:val="28"/>
                <w:bdr w:val="none" w:color="auto" w:sz="0" w:space="0"/>
                <w:lang w:val="en-US" w:eastAsia="zh-CN" w:bidi="ar"/>
              </w:rPr>
              <w:t>Road vehicles - Vehide-o-Grid Communication nterface - Part 2: Network and application protocol reauirements</w:t>
            </w:r>
          </w:p>
        </w:tc>
      </w:tr>
      <w:tr w14:paraId="41752871">
        <w:trPr>
          <w:trHeight w:val="1006" w:hRule="atLeast"/>
        </w:trPr>
        <w:tc>
          <w:tcPr>
            <w:tcW w:w="1384"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10843C01">
            <w:pPr>
              <w:keepNext w:val="0"/>
              <w:keepLines w:val="0"/>
              <w:widowControl/>
              <w:suppressLineNumbers w:val="0"/>
              <w:jc w:val="center"/>
              <w:rPr>
                <w:b/>
                <w:bCs/>
                <w:color w:val="444444"/>
                <w:sz w:val="28"/>
                <w:szCs w:val="28"/>
              </w:rPr>
            </w:pPr>
            <w:r>
              <w:rPr>
                <w:rFonts w:ascii="宋体" w:hAnsi="宋体" w:eastAsia="宋体" w:cs="宋体"/>
                <w:b/>
                <w:bCs/>
                <w:color w:val="444444"/>
                <w:kern w:val="0"/>
                <w:sz w:val="28"/>
                <w:szCs w:val="28"/>
                <w:bdr w:val="none" w:color="auto" w:sz="0" w:space="0"/>
                <w:lang w:val="en-US" w:eastAsia="zh-CN" w:bidi="ar"/>
              </w:rPr>
              <w:t>ISO 15118-3.2015</w:t>
            </w:r>
          </w:p>
        </w:tc>
        <w:tc>
          <w:tcPr>
            <w:tcW w:w="0" w:type="auto"/>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58BFCEF2">
            <w:pPr>
              <w:keepNext w:val="0"/>
              <w:keepLines w:val="0"/>
              <w:widowControl/>
              <w:suppressLineNumbers w:val="0"/>
              <w:jc w:val="left"/>
              <w:rPr>
                <w:color w:val="444444"/>
                <w:sz w:val="28"/>
                <w:szCs w:val="28"/>
              </w:rPr>
            </w:pPr>
            <w:r>
              <w:rPr>
                <w:rFonts w:ascii="宋体" w:hAnsi="宋体" w:eastAsia="宋体" w:cs="宋体"/>
                <w:color w:val="444444"/>
                <w:kern w:val="0"/>
                <w:sz w:val="28"/>
                <w:szCs w:val="28"/>
                <w:bdr w:val="none" w:color="auto" w:sz="0" w:space="0"/>
                <w:lang w:val="en-US" w:eastAsia="zh-CN" w:bidi="ar"/>
              </w:rPr>
              <w:t>Road vehicles - Vehicle to grid communication interface - Pat 3: Physical and data ink layer requirements</w:t>
            </w:r>
          </w:p>
        </w:tc>
      </w:tr>
      <w:tr w14:paraId="6E75150D">
        <w:trPr>
          <w:trHeight w:val="1021" w:hRule="atLeast"/>
        </w:trPr>
        <w:tc>
          <w:tcPr>
            <w:tcW w:w="1384"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782D7534">
            <w:pPr>
              <w:keepNext w:val="0"/>
              <w:keepLines w:val="0"/>
              <w:widowControl/>
              <w:suppressLineNumbers w:val="0"/>
              <w:jc w:val="center"/>
              <w:rPr>
                <w:b/>
                <w:bCs/>
                <w:color w:val="444444"/>
                <w:sz w:val="28"/>
                <w:szCs w:val="28"/>
              </w:rPr>
            </w:pPr>
            <w:r>
              <w:rPr>
                <w:rFonts w:ascii="宋体" w:hAnsi="宋体" w:eastAsia="宋体" w:cs="宋体"/>
                <w:b/>
                <w:bCs/>
                <w:color w:val="444444"/>
                <w:kern w:val="0"/>
                <w:sz w:val="28"/>
                <w:szCs w:val="28"/>
                <w:bdr w:val="none" w:color="auto" w:sz="0" w:space="0"/>
                <w:lang w:val="en-US" w:eastAsia="zh-CN" w:bidi="ar"/>
              </w:rPr>
              <w:t>DIN 70121 2014</w:t>
            </w:r>
          </w:p>
        </w:tc>
        <w:tc>
          <w:tcPr>
            <w:tcW w:w="0" w:type="auto"/>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4A8D1E68">
            <w:pPr>
              <w:keepNext w:val="0"/>
              <w:keepLines w:val="0"/>
              <w:widowControl/>
              <w:suppressLineNumbers w:val="0"/>
              <w:jc w:val="left"/>
              <w:rPr>
                <w:color w:val="444444"/>
                <w:sz w:val="28"/>
                <w:szCs w:val="28"/>
              </w:rPr>
            </w:pPr>
            <w:r>
              <w:rPr>
                <w:rFonts w:ascii="宋体" w:hAnsi="宋体" w:eastAsia="宋体" w:cs="宋体"/>
                <w:color w:val="444444"/>
                <w:kern w:val="0"/>
                <w:sz w:val="28"/>
                <w:szCs w:val="28"/>
                <w:bdr w:val="none" w:color="auto" w:sz="0" w:space="0"/>
                <w:lang w:val="en-US" w:eastAsia="zh-CN" w:bidi="ar"/>
              </w:rPr>
              <w:t>International standard norme internationanle Part 22: AC electric vehicle charging station</w:t>
            </w:r>
          </w:p>
        </w:tc>
      </w:tr>
    </w:tbl>
    <w:p w14:paraId="64D20DAE">
      <w:pPr>
        <w:pStyle w:val="3"/>
        <w:keepNext w:val="0"/>
        <w:keepLines w:val="0"/>
        <w:widowControl/>
        <w:suppressLineNumbers w:val="0"/>
        <w:pBdr>
          <w:top w:val="none" w:color="auto" w:sz="0" w:space="0"/>
          <w:bottom w:val="none" w:color="auto" w:sz="0" w:space="0"/>
          <w:right w:val="none" w:color="auto" w:sz="0" w:space="0"/>
        </w:pBdr>
        <w:spacing w:before="0" w:beforeAutospacing="0" w:after="0" w:afterAutospacing="0" w:line="36" w:lineRule="atLeast"/>
        <w:ind w:left="0" w:right="0"/>
        <w:jc w:val="left"/>
        <w:rPr>
          <w:rFonts w:hint="default" w:ascii="微软雅黑" w:hAnsi="微软雅黑" w:eastAsia="微软雅黑" w:cs="微软雅黑"/>
          <w:i w:val="0"/>
          <w:iCs w:val="0"/>
          <w:caps w:val="0"/>
          <w:spacing w:val="0"/>
          <w:sz w:val="28"/>
          <w:szCs w:val="28"/>
          <w:u w:val="none"/>
          <w:shd w:val="clear" w:fill="FFFFFF"/>
        </w:rPr>
      </w:pPr>
    </w:p>
    <w:p w14:paraId="5360735C">
      <w:pPr>
        <w:jc w:val="center"/>
        <w:rPr>
          <w:rFonts w:hint="eastAsia"/>
          <w:sz w:val="30"/>
          <w:szCs w:val="30"/>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9F9C10"/>
    <w:rsid w:val="EB9F9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2026-08-18T11:08:00Z</dcterms:created>
  <dc:creator>Gwen</dc:creator>
  <cp:lastModifiedBy>Gwen</cp:lastModifiedBy>
  <dcterms:modified xsi:type="dcterms:W3CDTF">2026-08-18T11:11:13Z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B2EB0D54EECD610AB5CC836ACAAAFB62_41</vt:lpwstr>
  </property>
</Properties>
</file>