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13416">
      <w:pPr>
        <w:jc w:val="center"/>
        <w:rPr>
          <w:sz w:val="28"/>
          <w:szCs w:val="28"/>
        </w:rPr>
      </w:pPr>
      <w:r>
        <w:rPr>
          <w:rFonts w:hint="default"/>
          <w:sz w:val="28"/>
          <w:szCs w:val="28"/>
        </w:rPr>
        <w:t>大功率直流充电桩(机)综合测试仪ST-HCDC-HPC</w:t>
      </w:r>
    </w:p>
    <w:p w14:paraId="3B1E60CA">
      <w:pPr>
        <w:rPr>
          <w:rFonts w:hint="eastAsia"/>
        </w:rPr>
      </w:pPr>
      <w:r>
        <w:rPr>
          <w:rFonts w:hint="eastAsia"/>
        </w:rPr>
        <w:t>大功率直流充电桩(机)综合测试仪ST-HCDC-HPC</w:t>
      </w:r>
    </w:p>
    <w:p w14:paraId="5783A42C">
      <w:pPr>
        <w:rPr>
          <w:rFonts w:hint="eastAsia"/>
        </w:rPr>
      </w:pPr>
      <w:r>
        <w:rPr>
          <w:rFonts w:hint="eastAsia"/>
        </w:rPr>
        <w:t>关键词:</w:t>
      </w:r>
    </w:p>
    <w:p w14:paraId="54CC1634">
      <w:pPr>
        <w:rPr>
          <w:rFonts w:hint="eastAsia"/>
        </w:rPr>
      </w:pPr>
      <w:r>
        <w:rPr>
          <w:rFonts w:hint="eastAsia"/>
        </w:rPr>
        <w:t>大功率直流充电桩(机)综合测试仪ST-HCDC-HPC</w:t>
      </w:r>
    </w:p>
    <w:p w14:paraId="3A3A0DA2">
      <w:pPr>
        <w:rPr>
          <w:rFonts w:hint="eastAsia"/>
        </w:rPr>
      </w:pPr>
      <w:r>
        <w:rPr>
          <w:rFonts w:hint="eastAsia"/>
        </w:rPr>
        <w:t>所属分类:充电桩测试</w:t>
      </w:r>
      <w:r>
        <w:rPr>
          <w:rFonts w:hint="eastAsia"/>
          <w:lang w:eastAsia="zh-CN"/>
        </w:rPr>
        <w:t>；</w:t>
      </w:r>
      <w:r>
        <w:rPr>
          <w:rFonts w:hint="eastAsia"/>
        </w:rPr>
        <w:t>实验室测试</w:t>
      </w:r>
      <w:r>
        <w:rPr>
          <w:rFonts w:hint="eastAsia"/>
          <w:lang w:eastAsia="zh-CN"/>
        </w:rPr>
        <w:t>；</w:t>
      </w:r>
      <w:r>
        <w:rPr>
          <w:rFonts w:hint="eastAsia"/>
        </w:rPr>
        <w:t>运维现场测试</w:t>
      </w:r>
    </w:p>
    <w:p w14:paraId="3BF49126">
      <w:pPr>
        <w:rPr>
          <w:rFonts w:hint="eastAsia"/>
          <w:lang w:val="en-US" w:eastAsia="zh-CN"/>
        </w:rPr>
      </w:pPr>
      <w:r>
        <w:rPr>
          <w:rFonts w:hint="eastAsia"/>
          <w:lang w:val="en-US" w:eastAsia="zh-CN"/>
        </w:rPr>
        <w:t>产品描述：</w:t>
      </w:r>
    </w:p>
    <w:p w14:paraId="39589A4B">
      <w:pPr>
        <w:ind w:firstLine="420" w:firstLineChars="0"/>
        <w:rPr>
          <w:rFonts w:hint="default"/>
          <w:lang w:val="en-US" w:eastAsia="zh-CN"/>
        </w:rPr>
      </w:pPr>
      <w:r>
        <w:rPr>
          <w:rFonts w:hint="default"/>
          <w:lang w:val="en-US" w:eastAsia="zh-CN"/>
        </w:rPr>
        <w:t>ST-HCDC-HPC是一款专门用于电动汽车非车载传导式充电机的第三方现场检测装置，基于国标协议GB/T 27930-2015GB/T 34658-2017、GB/T 34657.1-2017开发，测试仪可避免用电动汽车实车检测装置带来的测试使用不方便、测试内容不全面、频繁充电导致电池寿命缩短等问题，同时可避免充电故障导致测试车辆损坏</w:t>
      </w:r>
    </w:p>
    <w:p w14:paraId="2126C983">
      <w:pPr>
        <w:ind w:firstLine="420" w:firstLineChars="0"/>
        <w:rPr>
          <w:rFonts w:hint="default"/>
          <w:lang w:val="en-US" w:eastAsia="zh-CN"/>
        </w:rPr>
      </w:pPr>
      <w:r>
        <w:rPr>
          <w:rFonts w:hint="default"/>
          <w:lang w:val="en-US" w:eastAsia="zh-CN"/>
        </w:rPr>
        <w:t>主要应用于电动汽车非车载传导式充电机产品检测及充电桩带大功率负载测试，适用于非车载充电机生产厂家研发、可广泛应用于充电设施制造商等对电动汽车非车载传导式充电机，进行前期研发调试、计量检定、出厂测试。</w:t>
      </w:r>
    </w:p>
    <w:p w14:paraId="51A4F6F4">
      <w:pPr>
        <w:rPr>
          <w:rFonts w:hint="default"/>
          <w:lang w:val="en-US" w:eastAsia="zh-CN"/>
        </w:rPr>
      </w:pPr>
      <w:r>
        <w:rPr>
          <w:rFonts w:hint="default"/>
          <w:lang w:val="en-US" w:eastAsia="zh-CN"/>
        </w:rPr>
        <w:t>内置电池电压模拟装置，范围DCOV-1100V连续可调，20mAMAX·满足充电桩启动电压的仿真功能:R4电阻模拟功能，检测点2处上拉电压U2仿真模拟功能</w:t>
      </w:r>
    </w:p>
    <w:p w14:paraId="4ABAEAC0">
      <w:pPr>
        <w:ind w:firstLine="420" w:firstLineChars="0"/>
        <w:rPr>
          <w:rFonts w:hint="default"/>
          <w:lang w:val="en-US" w:eastAsia="zh-CN"/>
        </w:rPr>
      </w:pPr>
      <w:r>
        <w:rPr>
          <w:rFonts w:hint="default"/>
          <w:lang w:val="en-US" w:eastAsia="zh-CN"/>
        </w:rPr>
        <w:t>内置一个精度0.1%，范围10-1000A的高精度霍尔互感器，带有电压型和电流型两种测试接口，可使用多种方法进行校准:</w:t>
      </w:r>
    </w:p>
    <w:p w14:paraId="5AF71E6D">
      <w:pPr>
        <w:rPr>
          <w:rFonts w:hint="default"/>
          <w:lang w:val="en-US" w:eastAsia="zh-CN"/>
        </w:rPr>
      </w:pPr>
      <w:r>
        <w:rPr>
          <w:rFonts w:hint="default"/>
          <w:lang w:val="en-US" w:eastAsia="zh-CN"/>
        </w:rPr>
        <w:t>上位机可导出测试报文，带报文解析功能，可用于充电桩工作状态分析及与异常故障诊断:</w:t>
      </w:r>
    </w:p>
    <w:p w14:paraId="4205B1BB">
      <w:pPr>
        <w:rPr>
          <w:rFonts w:hint="default"/>
          <w:lang w:val="en-US" w:eastAsia="zh-CN"/>
        </w:rPr>
      </w:pPr>
      <w:r>
        <w:rPr>
          <w:rFonts w:hint="default"/>
          <w:lang w:val="en-US" w:eastAsia="zh-CN"/>
        </w:rPr>
        <w:t>自动测试GB/T 34658-2017的协议一致性，测试完成后可生成报告;</w:t>
      </w:r>
    </w:p>
    <w:p w14:paraId="4DA7F72A">
      <w:pPr>
        <w:rPr>
          <w:rFonts w:hint="default"/>
          <w:lang w:val="en-US" w:eastAsia="zh-CN"/>
        </w:rPr>
      </w:pPr>
      <w:r>
        <w:rPr>
          <w:rFonts w:hint="default"/>
          <w:lang w:val="en-US" w:eastAsia="zh-CN"/>
        </w:rPr>
        <w:t>测试GB/T34657.1-2017的电动汽车传导充电互操作性(硬件具备，客户配合外置仪器进行测试);</w:t>
      </w:r>
    </w:p>
    <w:p w14:paraId="61BA8765">
      <w:pPr>
        <w:rPr>
          <w:rFonts w:hint="default"/>
          <w:lang w:val="en-US" w:eastAsia="zh-CN"/>
        </w:rPr>
      </w:pPr>
      <w:r>
        <w:rPr>
          <w:rFonts w:hint="default"/>
          <w:lang w:val="en-US" w:eastAsia="zh-CN"/>
        </w:rPr>
        <w:t>模块化结构，易集成，重量不超过25kg，防护等级高;模拟BMS与充电机的通信，辨识握手、参数配置、充电阶段、充电结束各阶段报文:</w:t>
      </w:r>
    </w:p>
    <w:p w14:paraId="00952952">
      <w:pPr>
        <w:rPr>
          <w:rFonts w:hint="default"/>
          <w:lang w:val="en-US" w:eastAsia="zh-CN"/>
        </w:rPr>
      </w:pPr>
      <w:r>
        <w:rPr>
          <w:rFonts w:hint="default"/>
          <w:lang w:val="en-US" w:eastAsia="zh-CN"/>
        </w:rPr>
        <w:t>模拟了电动汽车充电回路，BMS通讯模拟，多通道高精度高速波形采集模块等设备，实现插枪即可测试，(选配)</w:t>
      </w:r>
    </w:p>
    <w:p w14:paraId="514D50F0">
      <w:pPr>
        <w:rPr>
          <w:rFonts w:hint="default"/>
          <w:lang w:val="en-US" w:eastAsia="zh-CN"/>
        </w:rPr>
      </w:pPr>
      <w:r>
        <w:rPr>
          <w:rFonts w:hint="default"/>
          <w:lang w:val="en-US" w:eastAsia="zh-CN"/>
        </w:rPr>
        <w:t>具备绝缘故障模拟功能(电阻8档位可调)可进行绝缘监测功能测试;</w:t>
      </w:r>
    </w:p>
    <w:p w14:paraId="24124C00">
      <w:pPr>
        <w:rPr>
          <w:rFonts w:hint="default"/>
          <w:lang w:val="en-US" w:eastAsia="zh-CN"/>
        </w:rPr>
      </w:pPr>
      <w:r>
        <w:rPr>
          <w:rFonts w:hint="default"/>
          <w:lang w:val="en-US" w:eastAsia="zh-CN"/>
        </w:rPr>
        <w:t>通过上位机对充电桩各项数据实时监测显示:预备大功率输出负载接线端子，方便连接负载设备。连接负载，可满足测试NBT33008.1-2018的部分带载测试项目;</w:t>
      </w:r>
    </w:p>
    <w:p w14:paraId="118DD87C">
      <w:pPr>
        <w:rPr>
          <w:rFonts w:hint="default"/>
          <w:lang w:val="en-US" w:eastAsia="zh-CN"/>
        </w:rPr>
      </w:pPr>
      <w:r>
        <w:rPr>
          <w:rFonts w:hint="default"/>
          <w:lang w:val="en-US" w:eastAsia="zh-CN"/>
        </w:rPr>
        <w:t>预备大功率输出负载接线端子，方便连接负载设备。连接负载，可满足测试NBT33008.1-2018的部分带载测试项目;</w:t>
      </w:r>
    </w:p>
    <w:tbl>
      <w:tblPr>
        <w:tblStyle w:val="4"/>
        <w:tblpPr w:leftFromText="180" w:rightFromText="180" w:vertAnchor="text" w:horzAnchor="page" w:tblpX="2024" w:tblpY="387"/>
        <w:tblOverlap w:val="never"/>
        <w:tblW w:w="8559"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0" w:type="dxa"/>
          <w:left w:w="150" w:type="dxa"/>
          <w:bottom w:w="150" w:type="dxa"/>
          <w:right w:w="150" w:type="dxa"/>
        </w:tblCellMar>
      </w:tblPr>
      <w:tblGrid>
        <w:gridCol w:w="2416"/>
        <w:gridCol w:w="6143"/>
      </w:tblGrid>
      <w:tr w14:paraId="7147B80F">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00AEEF"/>
            <w:tcMar>
              <w:top w:w="200" w:type="dxa"/>
              <w:left w:w="200" w:type="dxa"/>
              <w:bottom w:w="200" w:type="dxa"/>
              <w:right w:w="200" w:type="dxa"/>
            </w:tcMar>
            <w:vAlign w:val="center"/>
          </w:tcPr>
          <w:p w14:paraId="2B776800">
            <w:pPr>
              <w:rPr>
                <w:rFonts w:hint="default"/>
                <w:lang w:val="en-US" w:eastAsia="zh-CN"/>
              </w:rPr>
            </w:pPr>
            <w:bookmarkStart w:id="0" w:name="_GoBack"/>
            <w:r>
              <w:rPr>
                <w:rFonts w:hint="default"/>
                <w:lang w:val="en-US" w:eastAsia="zh-CN"/>
              </w:rPr>
              <w:t>品名</w:t>
            </w:r>
          </w:p>
        </w:tc>
        <w:tc>
          <w:tcPr>
            <w:tcW w:w="6143" w:type="dxa"/>
            <w:tcBorders>
              <w:top w:val="outset" w:color="auto" w:sz="6" w:space="0"/>
              <w:left w:val="outset" w:color="auto" w:sz="6" w:space="0"/>
              <w:bottom w:val="outset" w:color="auto" w:sz="6" w:space="0"/>
              <w:right w:val="outset" w:color="auto" w:sz="6" w:space="0"/>
            </w:tcBorders>
            <w:shd w:val="clear" w:color="auto" w:fill="00AEEF"/>
            <w:tcMar>
              <w:top w:w="200" w:type="dxa"/>
              <w:left w:w="200" w:type="dxa"/>
              <w:bottom w:w="200" w:type="dxa"/>
              <w:right w:w="200" w:type="dxa"/>
            </w:tcMar>
            <w:vAlign w:val="center"/>
          </w:tcPr>
          <w:p w14:paraId="2A1FB302">
            <w:pPr>
              <w:rPr>
                <w:rFonts w:hint="default"/>
                <w:lang w:val="en-US" w:eastAsia="zh-CN"/>
              </w:rPr>
            </w:pPr>
            <w:r>
              <w:rPr>
                <w:rFonts w:hint="default"/>
                <w:lang w:val="en-US" w:eastAsia="zh-CN"/>
              </w:rPr>
              <w:t>大功率直流充电桩(机)综合测试仪</w:t>
            </w:r>
          </w:p>
        </w:tc>
      </w:tr>
      <w:tr w14:paraId="7ADEF5C4">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5C24D18F">
            <w:pPr>
              <w:rPr>
                <w:rFonts w:hint="default"/>
                <w:lang w:val="en-US" w:eastAsia="zh-CN"/>
              </w:rPr>
            </w:pPr>
            <w:r>
              <w:rPr>
                <w:rFonts w:hint="default"/>
                <w:lang w:val="en-US" w:eastAsia="zh-CN"/>
              </w:rPr>
              <w:t>型号</w:t>
            </w: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4A0E0B5B">
            <w:pPr>
              <w:rPr>
                <w:rFonts w:hint="default"/>
                <w:lang w:val="en-US" w:eastAsia="zh-CN"/>
              </w:rPr>
            </w:pPr>
            <w:r>
              <w:rPr>
                <w:rFonts w:hint="default"/>
                <w:lang w:val="en-US" w:eastAsia="zh-CN"/>
              </w:rPr>
              <w:t>ST-HCDC-HPC</w:t>
            </w:r>
          </w:p>
        </w:tc>
      </w:tr>
      <w:tr w14:paraId="70DD5238">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54A18CB7">
            <w:pPr>
              <w:rPr>
                <w:rFonts w:hint="default"/>
                <w:lang w:val="en-US" w:eastAsia="zh-CN"/>
              </w:rPr>
            </w:pPr>
            <w:r>
              <w:rPr>
                <w:rFonts w:hint="default"/>
                <w:lang w:val="en-US" w:eastAsia="zh-CN"/>
              </w:rPr>
              <w:t>枪座数量</w:t>
            </w:r>
          </w:p>
        </w:tc>
        <w:tc>
          <w:tcPr>
            <w:tcW w:w="6143"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3A92BEBE">
            <w:pPr>
              <w:rPr>
                <w:rFonts w:hint="default"/>
                <w:lang w:val="en-US" w:eastAsia="zh-CN"/>
              </w:rPr>
            </w:pPr>
            <w:r>
              <w:rPr>
                <w:rFonts w:hint="default"/>
                <w:lang w:val="en-US" w:eastAsia="zh-CN"/>
              </w:rPr>
              <w:t>1个</w:t>
            </w:r>
          </w:p>
        </w:tc>
      </w:tr>
      <w:tr w14:paraId="1E34A3B2">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68BE3BAB">
            <w:pPr>
              <w:rPr>
                <w:rFonts w:hint="default"/>
                <w:lang w:val="en-US" w:eastAsia="zh-CN"/>
              </w:rPr>
            </w:pPr>
            <w:r>
              <w:rPr>
                <w:rFonts w:hint="default"/>
                <w:lang w:val="en-US" w:eastAsia="zh-CN"/>
              </w:rPr>
              <w:t>检测对象</w:t>
            </w: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74AA4FEE">
            <w:pPr>
              <w:rPr>
                <w:rFonts w:hint="default"/>
                <w:lang w:val="en-US" w:eastAsia="zh-CN"/>
              </w:rPr>
            </w:pPr>
            <w:r>
              <w:rPr>
                <w:rFonts w:hint="default"/>
                <w:lang w:val="en-US" w:eastAsia="zh-CN"/>
              </w:rPr>
              <w:t>直流充电桩(机)</w:t>
            </w:r>
          </w:p>
        </w:tc>
      </w:tr>
      <w:tr w14:paraId="79A22238">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687B8E15">
            <w:pPr>
              <w:rPr>
                <w:rFonts w:hint="default"/>
                <w:lang w:val="en-US" w:eastAsia="zh-CN"/>
              </w:rPr>
            </w:pPr>
            <w:r>
              <w:rPr>
                <w:rFonts w:hint="default"/>
                <w:lang w:val="en-US" w:eastAsia="zh-CN"/>
              </w:rPr>
              <w:t>R4等效电阻值</w:t>
            </w:r>
          </w:p>
        </w:tc>
        <w:tc>
          <w:tcPr>
            <w:tcW w:w="6143"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5B01584C">
            <w:pPr>
              <w:rPr>
                <w:rFonts w:hint="default"/>
                <w:lang w:val="en-US" w:eastAsia="zh-CN"/>
              </w:rPr>
            </w:pPr>
            <w:r>
              <w:rPr>
                <w:rFonts w:hint="default"/>
                <w:lang w:val="en-US" w:eastAsia="zh-CN"/>
              </w:rPr>
              <w:t>200-11000Ω(步进1 Ω)</w:t>
            </w:r>
          </w:p>
        </w:tc>
      </w:tr>
      <w:tr w14:paraId="3B954F30">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25C44543">
            <w:pPr>
              <w:rPr>
                <w:rFonts w:hint="default"/>
                <w:lang w:val="en-US" w:eastAsia="zh-CN"/>
              </w:rPr>
            </w:pPr>
            <w:r>
              <w:rPr>
                <w:rFonts w:hint="default"/>
                <w:lang w:val="en-US" w:eastAsia="zh-CN"/>
              </w:rPr>
              <w:t>电压/电流采样</w:t>
            </w: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14336C82">
            <w:pPr>
              <w:rPr>
                <w:rFonts w:hint="default"/>
                <w:lang w:val="en-US" w:eastAsia="zh-CN"/>
              </w:rPr>
            </w:pPr>
            <w:r>
              <w:rPr>
                <w:rFonts w:hint="default"/>
                <w:lang w:val="en-US" w:eastAsia="zh-CN"/>
              </w:rPr>
              <w:t>± 0.5%RD(200VSUs1000VV土0.5%RD(10ASIS300A)</w:t>
            </w:r>
          </w:p>
        </w:tc>
      </w:tr>
      <w:tr w14:paraId="0ADE60E6">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03AD7C62">
            <w:pPr>
              <w:rPr>
                <w:rFonts w:hint="default"/>
                <w:lang w:val="en-US" w:eastAsia="zh-CN"/>
              </w:rPr>
            </w:pPr>
            <w:r>
              <w:rPr>
                <w:rFonts w:hint="default"/>
                <w:lang w:val="en-US" w:eastAsia="zh-CN"/>
              </w:rPr>
              <w:t>工作电源</w:t>
            </w:r>
          </w:p>
        </w:tc>
        <w:tc>
          <w:tcPr>
            <w:tcW w:w="6143" w:type="dxa"/>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3349F631">
            <w:pPr>
              <w:rPr>
                <w:rFonts w:hint="default"/>
                <w:lang w:val="en-US" w:eastAsia="zh-CN"/>
              </w:rPr>
            </w:pPr>
            <w:r>
              <w:rPr>
                <w:rFonts w:hint="default"/>
                <w:lang w:val="en-US" w:eastAsia="zh-CN"/>
              </w:rPr>
              <w:t>100-240VAC,50Hz;35w</w:t>
            </w:r>
          </w:p>
        </w:tc>
      </w:tr>
      <w:tr w14:paraId="34129FC3">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0FC8BB09">
            <w:pPr>
              <w:rPr>
                <w:rFonts w:hint="default"/>
                <w:lang w:val="en-US" w:eastAsia="zh-CN"/>
              </w:rPr>
            </w:pPr>
            <w:r>
              <w:rPr>
                <w:rFonts w:hint="default"/>
                <w:lang w:val="en-US" w:eastAsia="zh-CN"/>
              </w:rPr>
              <w:t>通信接口</w:t>
            </w: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4AEAC55B">
            <w:pPr>
              <w:rPr>
                <w:rFonts w:hint="default"/>
                <w:lang w:val="en-US" w:eastAsia="zh-CN"/>
              </w:rPr>
            </w:pPr>
            <w:r>
              <w:rPr>
                <w:rFonts w:hint="default"/>
                <w:lang w:val="en-US" w:eastAsia="zh-CN"/>
              </w:rPr>
              <w:t>LAN、RS232、WIFI</w:t>
            </w:r>
          </w:p>
        </w:tc>
      </w:tr>
      <w:tr w14:paraId="2FE3AE00">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7B9CEF03">
            <w:pPr>
              <w:rPr>
                <w:rFonts w:hint="default"/>
                <w:lang w:val="en-US" w:eastAsia="zh-CN"/>
              </w:rPr>
            </w:pPr>
            <w:r>
              <w:rPr>
                <w:rFonts w:hint="default"/>
                <w:lang w:val="en-US" w:eastAsia="zh-CN"/>
              </w:rPr>
              <w:t>外扩负载</w:t>
            </w:r>
          </w:p>
        </w:tc>
        <w:tc>
          <w:tcPr>
            <w:tcW w:w="6143"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3CB8D8EA">
            <w:pPr>
              <w:rPr>
                <w:rFonts w:hint="default"/>
                <w:lang w:val="en-US" w:eastAsia="zh-CN"/>
              </w:rPr>
            </w:pPr>
            <w:r>
              <w:rPr>
                <w:rFonts w:hint="default"/>
                <w:lang w:val="en-US" w:eastAsia="zh-CN"/>
              </w:rPr>
              <w:t>无内置负载(可外接负载设备s250A)</w:t>
            </w:r>
          </w:p>
        </w:tc>
      </w:tr>
      <w:tr w14:paraId="28FDE33B">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6090BFEF">
            <w:pPr>
              <w:rPr>
                <w:rFonts w:hint="default"/>
                <w:lang w:val="en-US" w:eastAsia="zh-CN"/>
              </w:rPr>
            </w:pPr>
            <w:r>
              <w:rPr>
                <w:rFonts w:hint="default"/>
                <w:lang w:val="en-US" w:eastAsia="zh-CN"/>
              </w:rPr>
              <w:t>产品尺寸</w:t>
            </w: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21D27C43">
            <w:pPr>
              <w:rPr>
                <w:rFonts w:hint="default"/>
                <w:lang w:val="en-US" w:eastAsia="zh-CN"/>
              </w:rPr>
            </w:pPr>
            <w:r>
              <w:rPr>
                <w:rFonts w:hint="default"/>
                <w:lang w:val="en-US" w:eastAsia="zh-CN"/>
              </w:rPr>
              <w:t>L561*W455*H265mm;</w:t>
            </w:r>
          </w:p>
        </w:tc>
      </w:tr>
      <w:tr w14:paraId="78708062">
        <w:trPr>
          <w:trHeight w:val="597" w:hRule="atLeast"/>
        </w:trPr>
        <w:tc>
          <w:tcPr>
            <w:tcW w:w="2416" w:type="dxa"/>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16CC7253">
            <w:pPr>
              <w:rPr>
                <w:rFonts w:hint="default"/>
                <w:lang w:val="en-US" w:eastAsia="zh-CN"/>
              </w:rPr>
            </w:pPr>
            <w:r>
              <w:rPr>
                <w:rFonts w:hint="default"/>
                <w:lang w:val="en-US" w:eastAsia="zh-CN"/>
              </w:rPr>
              <w:t>是否带上位机软件</w:t>
            </w:r>
          </w:p>
        </w:tc>
        <w:tc>
          <w:tcPr>
            <w:tcW w:w="6143" w:type="dxa"/>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27885413">
            <w:pPr>
              <w:rPr>
                <w:rFonts w:hint="default"/>
                <w:lang w:val="en-US" w:eastAsia="zh-CN"/>
              </w:rPr>
            </w:pPr>
            <w:r>
              <w:rPr>
                <w:rFonts w:hint="default"/>
                <w:lang w:val="en-US" w:eastAsia="zh-CN"/>
              </w:rPr>
              <w:t>是</w:t>
            </w:r>
          </w:p>
        </w:tc>
      </w:tr>
      <w:tr w14:paraId="2F3EE287">
        <w:trPr>
          <w:trHeight w:val="597" w:hRule="atLeast"/>
        </w:trPr>
        <w:tc>
          <w:tcPr>
            <w:tcW w:w="2416" w:type="dxa"/>
            <w:vMerge w:val="restart"/>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0664E648">
            <w:pPr>
              <w:rPr>
                <w:rFonts w:hint="default"/>
                <w:lang w:val="en-US" w:eastAsia="zh-CN"/>
              </w:rPr>
            </w:pPr>
            <w:r>
              <w:rPr>
                <w:rFonts w:hint="default"/>
                <w:lang w:val="en-US" w:eastAsia="zh-CN"/>
              </w:rPr>
              <w:t>使用环境</w:t>
            </w: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13882A33">
            <w:pPr>
              <w:rPr>
                <w:rFonts w:hint="default"/>
                <w:lang w:val="en-US" w:eastAsia="zh-CN"/>
              </w:rPr>
            </w:pPr>
            <w:r>
              <w:rPr>
                <w:rFonts w:hint="default"/>
                <w:lang w:val="en-US" w:eastAsia="zh-CN"/>
              </w:rPr>
              <w:t>工作温度:-20C-50C</w:t>
            </w:r>
          </w:p>
        </w:tc>
      </w:tr>
      <w:tr w14:paraId="10BFA470">
        <w:trPr>
          <w:trHeight w:val="597" w:hRule="atLeast"/>
        </w:trPr>
        <w:tc>
          <w:tcPr>
            <w:tcW w:w="2416" w:type="dxa"/>
            <w:vMerge w:val="continue"/>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31BA2BE4">
            <w:pPr>
              <w:rPr>
                <w:rFonts w:hint="default"/>
                <w:lang w:val="en-US" w:eastAsia="zh-CN"/>
              </w:rPr>
            </w:pP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5298D293">
            <w:pPr>
              <w:rPr>
                <w:rFonts w:hint="default"/>
                <w:lang w:val="en-US" w:eastAsia="zh-CN"/>
              </w:rPr>
            </w:pPr>
            <w:r>
              <w:rPr>
                <w:rFonts w:hint="default"/>
                <w:lang w:val="en-US" w:eastAsia="zh-CN"/>
              </w:rPr>
              <w:t>存储温度:-30C-70C</w:t>
            </w:r>
          </w:p>
        </w:tc>
      </w:tr>
      <w:tr w14:paraId="3775CF9E">
        <w:trPr>
          <w:trHeight w:val="852" w:hRule="atLeast"/>
        </w:trPr>
        <w:tc>
          <w:tcPr>
            <w:tcW w:w="2416" w:type="dxa"/>
            <w:vMerge w:val="continue"/>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12047924">
            <w:pPr>
              <w:rPr>
                <w:rFonts w:hint="default"/>
                <w:lang w:val="en-US" w:eastAsia="zh-CN"/>
              </w:rPr>
            </w:pPr>
          </w:p>
        </w:tc>
        <w:tc>
          <w:tcPr>
            <w:tcW w:w="6143"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640F42AD">
            <w:pPr>
              <w:rPr>
                <w:rFonts w:hint="default"/>
                <w:lang w:val="en-US" w:eastAsia="zh-CN"/>
              </w:rPr>
            </w:pPr>
            <w:r>
              <w:rPr>
                <w:rFonts w:hint="default"/>
                <w:lang w:val="en-US" w:eastAsia="zh-CN"/>
              </w:rPr>
              <w:t>相对湿度: 90%Rh(10C至30C); s75%Rh(30C至40C); 45%Rh(40C至50C)</w:t>
            </w:r>
          </w:p>
        </w:tc>
      </w:tr>
      <w:tr w14:paraId="261A9B26">
        <w:trPr>
          <w:trHeight w:val="852" w:hRule="atLeast"/>
        </w:trPr>
        <w:tc>
          <w:tcPr>
            <w:tcW w:w="2416" w:type="dxa"/>
            <w:vMerge w:val="restart"/>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1E32ADF4">
            <w:pPr>
              <w:rPr>
                <w:rFonts w:hint="default"/>
                <w:lang w:val="en-US" w:eastAsia="zh-CN"/>
              </w:rPr>
            </w:pPr>
            <w:r>
              <w:rPr>
                <w:rFonts w:hint="default"/>
                <w:lang w:val="en-US" w:eastAsia="zh-CN"/>
              </w:rPr>
              <w:t>参考标准</w:t>
            </w:r>
          </w:p>
        </w:tc>
        <w:tc>
          <w:tcPr>
            <w:tcW w:w="6143" w:type="dxa"/>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17D30104">
            <w:pPr>
              <w:rPr>
                <w:rFonts w:hint="default"/>
                <w:lang w:val="en-US" w:eastAsia="zh-CN"/>
              </w:rPr>
            </w:pPr>
            <w:r>
              <w:rPr>
                <w:rFonts w:hint="default"/>
                <w:lang w:val="en-US" w:eastAsia="zh-CN"/>
              </w:rPr>
              <w:t>GBT 18487.1-2015、GB/T 20234.1-2015、GB/T20234.4-2022</w:t>
            </w:r>
          </w:p>
        </w:tc>
      </w:tr>
      <w:tr w14:paraId="5123D74C">
        <w:trPr>
          <w:trHeight w:val="587" w:hRule="atLeast"/>
        </w:trPr>
        <w:tc>
          <w:tcPr>
            <w:tcW w:w="2416" w:type="dxa"/>
            <w:vMerge w:val="continue"/>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3824361D">
            <w:pPr>
              <w:rPr>
                <w:rFonts w:hint="default"/>
                <w:lang w:val="en-US" w:eastAsia="zh-CN"/>
              </w:rPr>
            </w:pPr>
          </w:p>
        </w:tc>
        <w:tc>
          <w:tcPr>
            <w:tcW w:w="6143" w:type="dxa"/>
            <w:tcBorders>
              <w:top w:val="outset" w:color="auto" w:sz="6" w:space="0"/>
              <w:left w:val="outset" w:color="auto" w:sz="6" w:space="0"/>
              <w:bottom w:val="outset" w:color="auto" w:sz="6" w:space="0"/>
              <w:right w:val="outset" w:color="auto" w:sz="6" w:space="0"/>
            </w:tcBorders>
            <w:shd w:val="clear" w:color="auto" w:fill="FFFFFF"/>
            <w:tcMar>
              <w:top w:w="200" w:type="dxa"/>
              <w:left w:w="200" w:type="dxa"/>
              <w:bottom w:w="200" w:type="dxa"/>
              <w:right w:w="200" w:type="dxa"/>
            </w:tcMar>
            <w:vAlign w:val="center"/>
          </w:tcPr>
          <w:p w14:paraId="33A32585">
            <w:pPr>
              <w:rPr>
                <w:rFonts w:hint="default"/>
                <w:lang w:val="en-US" w:eastAsia="zh-CN"/>
              </w:rPr>
            </w:pPr>
            <w:r>
              <w:rPr>
                <w:rFonts w:hint="default"/>
                <w:lang w:val="en-US" w:eastAsia="zh-CN"/>
              </w:rPr>
              <w:t>GB/T27930-2015、GB/T 34658-2017、GB/T34657.1-2017</w:t>
            </w:r>
          </w:p>
        </w:tc>
      </w:tr>
      <w:bookmarkEnd w:id="0"/>
    </w:tbl>
    <w:p w14:paraId="517C06E4">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DBBCC4"/>
    <w:rsid w:val="4FDBB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2026-08-18T11:18:00Z</dcterms:created>
  <dc:creator>Gwen</dc:creator>
  <cp:lastModifiedBy>Gwen</cp:lastModifiedBy>
  <dcterms:modified xsi:type="dcterms:W3CDTF">2026-08-18T14:23:01Z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083F36007642BD95F8CE836A1B32AAE0_41</vt:lpwstr>
  </property>
</Properties>
</file>